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861C1">
      <w:pPr>
        <w:spacing w:before="120" w:after="120" w:line="0" w:lineRule="atLeast"/>
        <w:jc w:val="center"/>
        <w:rPr>
          <w:rFonts w:hint="eastAsia" w:ascii="Times New Roman" w:hAnsi="Times New Roman" w:eastAsia="黑体" w:cs="Courier New"/>
          <w:bCs/>
          <w:sz w:val="44"/>
          <w:szCs w:val="21"/>
        </w:rPr>
      </w:pPr>
      <w:r>
        <w:rPr>
          <w:rFonts w:hint="eastAsia" w:ascii="Times New Roman" w:hAnsi="Times New Roman" w:eastAsia="黑体" w:cs="Courier New"/>
          <w:bCs/>
          <w:sz w:val="44"/>
          <w:szCs w:val="21"/>
        </w:rPr>
        <w:t>采购需求</w:t>
      </w:r>
    </w:p>
    <w:p w14:paraId="3F988F1D">
      <w:pPr>
        <w:spacing w:line="560" w:lineRule="exact"/>
        <w:ind w:firstLine="560"/>
        <w:rPr>
          <w:rFonts w:ascii="宋体" w:hAnsi="宋体" w:cs="宋体"/>
          <w:color w:val="000000"/>
          <w:sz w:val="24"/>
          <w:szCs w:val="24"/>
        </w:rPr>
      </w:pPr>
      <w:r>
        <w:rPr>
          <w:rFonts w:hint="eastAsia" w:ascii="宋体" w:hAnsi="宋体" w:cs="宋体"/>
          <w:color w:val="000000"/>
          <w:sz w:val="24"/>
          <w:szCs w:val="24"/>
        </w:rPr>
        <w:t>项目属性：</w:t>
      </w:r>
      <w:r>
        <w:rPr>
          <w:rFonts w:hint="eastAsia" w:ascii="宋体" w:hAnsi="宋体" w:cs="宋体"/>
          <w:color w:val="000000"/>
          <w:sz w:val="24"/>
          <w:szCs w:val="24"/>
          <w:u w:val="single"/>
        </w:rPr>
        <w:t>服务类项目</w:t>
      </w:r>
      <w:r>
        <w:rPr>
          <w:rFonts w:hint="eastAsia" w:ascii="宋体" w:hAnsi="宋体" w:cs="宋体"/>
          <w:color w:val="000000"/>
          <w:sz w:val="24"/>
          <w:szCs w:val="24"/>
        </w:rPr>
        <w:t xml:space="preserve">。 </w:t>
      </w:r>
    </w:p>
    <w:p w14:paraId="7418CDC5">
      <w:pPr>
        <w:spacing w:line="560" w:lineRule="exact"/>
        <w:ind w:firstLine="560"/>
        <w:rPr>
          <w:rFonts w:ascii="宋体" w:hAnsi="宋体" w:cs="宋体"/>
          <w:color w:val="000000"/>
          <w:sz w:val="24"/>
          <w:szCs w:val="24"/>
        </w:rPr>
      </w:pPr>
      <w:r>
        <w:rPr>
          <w:rFonts w:hint="eastAsia" w:ascii="宋体" w:hAnsi="宋体" w:cs="宋体"/>
          <w:color w:val="000000"/>
          <w:sz w:val="24"/>
          <w:szCs w:val="24"/>
        </w:rPr>
        <w:t>本项目采购标的对应的中小企业划分标准所属行业：</w:t>
      </w:r>
      <w:r>
        <w:rPr>
          <w:rFonts w:hint="eastAsia" w:ascii="宋体" w:hAnsi="宋体" w:cs="宋体"/>
          <w:color w:val="000000"/>
          <w:sz w:val="24"/>
          <w:szCs w:val="24"/>
          <w:u w:val="single"/>
        </w:rPr>
        <w:t>其他未列明行业。</w:t>
      </w:r>
    </w:p>
    <w:p w14:paraId="102950A1">
      <w:pPr>
        <w:spacing w:line="560" w:lineRule="exact"/>
        <w:ind w:firstLine="560"/>
        <w:rPr>
          <w:rFonts w:ascii="宋体" w:hAnsi="宋体" w:cs="宋体"/>
          <w:color w:val="000000"/>
          <w:sz w:val="28"/>
          <w:szCs w:val="28"/>
        </w:rPr>
      </w:pPr>
      <w:r>
        <w:rPr>
          <w:rFonts w:hint="eastAsia" w:ascii="宋体" w:hAnsi="宋体" w:cs="宋体"/>
          <w:color w:val="000000"/>
          <w:sz w:val="24"/>
          <w:szCs w:val="24"/>
        </w:rPr>
        <w:t>本项目不接受进口产品。</w:t>
      </w:r>
    </w:p>
    <w:p w14:paraId="798EEFC4">
      <w:pPr>
        <w:widowControl/>
        <w:spacing w:line="360" w:lineRule="auto"/>
        <w:ind w:firstLine="562"/>
        <w:rPr>
          <w:rFonts w:ascii="宋体" w:hAnsi="宋体" w:cs="宋体"/>
          <w:b/>
          <w:bCs/>
          <w:sz w:val="28"/>
          <w:szCs w:val="28"/>
        </w:rPr>
      </w:pPr>
      <w:r>
        <w:rPr>
          <w:rFonts w:hint="eastAsia" w:ascii="宋体" w:hAnsi="宋体" w:cs="宋体"/>
          <w:b/>
          <w:bCs/>
          <w:sz w:val="28"/>
          <w:szCs w:val="28"/>
        </w:rPr>
        <w:t>一、项目概况</w:t>
      </w:r>
    </w:p>
    <w:p w14:paraId="05E05B96">
      <w:pPr>
        <w:widowControl/>
        <w:spacing w:line="360" w:lineRule="auto"/>
        <w:ind w:firstLine="480"/>
        <w:rPr>
          <w:rFonts w:hint="eastAsia" w:ascii="宋体" w:hAnsi="宋体" w:eastAsia="宋体" w:cs="宋体"/>
          <w:color w:val="000000"/>
          <w:sz w:val="24"/>
          <w:szCs w:val="24"/>
          <w:lang w:eastAsia="zh-CN"/>
        </w:rPr>
      </w:pPr>
      <w:bookmarkStart w:id="0" w:name="OLE_LINK90"/>
      <w:r>
        <w:rPr>
          <w:rFonts w:hint="eastAsia" w:ascii="宋体" w:hAnsi="宋体" w:cs="宋体"/>
          <w:bCs/>
          <w:color w:val="000000"/>
          <w:sz w:val="24"/>
          <w:szCs w:val="24"/>
        </w:rPr>
        <w:t>1.</w:t>
      </w:r>
      <w:r>
        <w:rPr>
          <w:rFonts w:hint="eastAsia" w:ascii="宋体" w:hAnsi="宋体" w:cs="宋体"/>
          <w:color w:val="000000"/>
          <w:sz w:val="24"/>
          <w:szCs w:val="24"/>
        </w:rPr>
        <w:t>项目名称</w:t>
      </w:r>
      <w:r>
        <w:rPr>
          <w:rFonts w:hint="eastAsia" w:ascii="宋体" w:hAnsi="宋体" w:cs="宋体"/>
          <w:bCs/>
          <w:color w:val="000000"/>
          <w:sz w:val="24"/>
          <w:szCs w:val="24"/>
        </w:rPr>
        <w:t>：</w:t>
      </w:r>
      <w:r>
        <w:rPr>
          <w:rFonts w:hint="eastAsia" w:ascii="宋体" w:hAnsi="宋体" w:cs="宋体"/>
          <w:color w:val="000000"/>
          <w:sz w:val="24"/>
          <w:szCs w:val="24"/>
          <w:lang w:eastAsia="zh-CN"/>
        </w:rPr>
        <w:t>宿迁市泗阳县人民法院无纸化办案配套服务项目</w:t>
      </w:r>
    </w:p>
    <w:p w14:paraId="2BE0E355">
      <w:pPr>
        <w:widowControl/>
        <w:spacing w:line="360" w:lineRule="auto"/>
        <w:ind w:firstLine="480"/>
        <w:rPr>
          <w:rFonts w:hint="eastAsia"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color w:val="000000"/>
          <w:sz w:val="24"/>
          <w:szCs w:val="24"/>
        </w:rPr>
        <w:t>合同履行期限：</w:t>
      </w:r>
      <w:r>
        <w:rPr>
          <w:rFonts w:hint="eastAsia" w:ascii="宋体" w:hAnsi="宋体" w:cs="宋体"/>
          <w:bCs/>
          <w:color w:val="000000"/>
          <w:sz w:val="24"/>
          <w:szCs w:val="24"/>
        </w:rPr>
        <w:t>服务期限：1年。</w:t>
      </w:r>
    </w:p>
    <w:p w14:paraId="21889B39">
      <w:pPr>
        <w:widowControl/>
        <w:spacing w:line="360" w:lineRule="auto"/>
        <w:ind w:firstLine="480"/>
        <w:rPr>
          <w:rFonts w:ascii="宋体" w:hAnsi="宋体" w:cs="宋体"/>
          <w:b/>
          <w:color w:val="000000"/>
          <w:sz w:val="24"/>
          <w:szCs w:val="24"/>
          <w:u w:val="single"/>
        </w:rPr>
      </w:pPr>
      <w:r>
        <w:rPr>
          <w:rFonts w:hint="eastAsia" w:ascii="宋体" w:hAnsi="宋体" w:cs="宋体"/>
          <w:bCs/>
          <w:color w:val="000000"/>
          <w:sz w:val="24"/>
          <w:szCs w:val="24"/>
        </w:rPr>
        <w:t>3.</w:t>
      </w:r>
      <w:r>
        <w:rPr>
          <w:rFonts w:hint="eastAsia" w:ascii="宋体" w:hAnsi="宋体" w:cs="宋体"/>
          <w:b/>
          <w:color w:val="000000"/>
          <w:sz w:val="24"/>
          <w:szCs w:val="24"/>
        </w:rPr>
        <w:t>付款方式：</w:t>
      </w:r>
    </w:p>
    <w:p w14:paraId="058C5E47">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预付款：合同金额的10%，合同签订后按规定支付；</w:t>
      </w:r>
    </w:p>
    <w:p w14:paraId="591098C5">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进度款：剩余合同金额按季度在收到供应商发票10个工作日内平均支付。（合同款可以采用数字人民币形式支付）</w:t>
      </w:r>
    </w:p>
    <w:p w14:paraId="338DD077">
      <w:pPr>
        <w:spacing w:line="360" w:lineRule="auto"/>
        <w:ind w:firstLine="480"/>
        <w:rPr>
          <w:rFonts w:ascii="宋体" w:hAnsi="宋体" w:cs="宋体"/>
          <w:b/>
          <w:color w:val="000000"/>
          <w:sz w:val="24"/>
          <w:szCs w:val="24"/>
        </w:rPr>
      </w:pPr>
      <w:r>
        <w:rPr>
          <w:rFonts w:hint="eastAsia" w:ascii="宋体" w:hAnsi="宋体" w:cs="宋体"/>
          <w:color w:val="000000"/>
          <w:sz w:val="24"/>
          <w:szCs w:val="24"/>
          <w:highlight w:val="white"/>
        </w:rPr>
        <w:t>注：在签订合同时，供应商明确表示无需预付款或者主动要求降低预付款比例的，采购人可不适用预付规定。</w:t>
      </w:r>
    </w:p>
    <w:bookmarkEnd w:id="0"/>
    <w:p w14:paraId="439DB952">
      <w:pPr>
        <w:widowControl/>
        <w:spacing w:line="520" w:lineRule="exact"/>
        <w:ind w:firstLine="562"/>
        <w:jc w:val="left"/>
        <w:rPr>
          <w:rFonts w:ascii="宋体" w:hAnsi="宋体"/>
          <w:b/>
          <w:bCs/>
          <w:sz w:val="28"/>
          <w:szCs w:val="28"/>
        </w:rPr>
      </w:pPr>
      <w:r>
        <w:rPr>
          <w:rFonts w:hint="eastAsia" w:ascii="宋体" w:hAnsi="宋体"/>
          <w:b/>
          <w:bCs/>
          <w:sz w:val="28"/>
          <w:szCs w:val="28"/>
        </w:rPr>
        <w:t>二、项目背景</w:t>
      </w:r>
    </w:p>
    <w:p w14:paraId="520C937F">
      <w:pPr>
        <w:tabs>
          <w:tab w:val="left" w:pos="945"/>
        </w:tabs>
        <w:spacing w:line="520" w:lineRule="exact"/>
        <w:ind w:firstLine="480"/>
        <w:jc w:val="left"/>
        <w:rPr>
          <w:rFonts w:hint="eastAsia" w:ascii="宋体" w:hAnsi="宋体"/>
          <w:bCs/>
          <w:sz w:val="24"/>
          <w:szCs w:val="24"/>
        </w:rPr>
      </w:pPr>
      <w:r>
        <w:rPr>
          <w:rFonts w:hint="eastAsia" w:ascii="宋体" w:hAnsi="宋体"/>
          <w:bCs/>
          <w:sz w:val="24"/>
          <w:szCs w:val="24"/>
        </w:rPr>
        <w:t>无纸化办案是人民法院信息化</w:t>
      </w:r>
      <w:r>
        <w:rPr>
          <w:rFonts w:hint="default" w:ascii="宋体" w:hAnsi="宋体"/>
          <w:bCs/>
          <w:sz w:val="24"/>
          <w:szCs w:val="24"/>
        </w:rPr>
        <w:t>4.0版的重要内容</w:t>
      </w:r>
      <w:r>
        <w:rPr>
          <w:rFonts w:hint="eastAsia" w:ascii="宋体" w:hAnsi="宋体"/>
          <w:bCs/>
          <w:sz w:val="24"/>
          <w:szCs w:val="24"/>
        </w:rPr>
        <w:t>，</w:t>
      </w:r>
      <w:r>
        <w:rPr>
          <w:rFonts w:hint="default" w:ascii="宋体" w:hAnsi="宋体"/>
          <w:bCs/>
          <w:sz w:val="24"/>
          <w:szCs w:val="24"/>
        </w:rPr>
        <w:t>最高人民法院《</w:t>
      </w:r>
      <w:r>
        <w:rPr>
          <w:rFonts w:hint="eastAsia" w:ascii="宋体" w:hAnsi="宋体"/>
          <w:bCs/>
          <w:sz w:val="24"/>
          <w:szCs w:val="24"/>
        </w:rPr>
        <w:t>关于进一步加快推进人民法院电子卷宗随案同步生成和深度应用的通知</w:t>
      </w:r>
      <w:r>
        <w:rPr>
          <w:rFonts w:hint="default" w:ascii="宋体" w:hAnsi="宋体"/>
          <w:bCs/>
          <w:sz w:val="24"/>
          <w:szCs w:val="24"/>
        </w:rPr>
        <w:t>》</w:t>
      </w:r>
      <w:r>
        <w:rPr>
          <w:rFonts w:hint="eastAsia" w:ascii="宋体" w:hAnsi="宋体"/>
          <w:bCs/>
          <w:sz w:val="24"/>
          <w:szCs w:val="24"/>
        </w:rPr>
        <w:t>和</w:t>
      </w:r>
      <w:r>
        <w:rPr>
          <w:rFonts w:hint="default" w:ascii="宋体" w:hAnsi="宋体"/>
          <w:bCs/>
          <w:sz w:val="24"/>
          <w:szCs w:val="24"/>
        </w:rPr>
        <w:t>《人民法院信息化建设五年发展规划</w:t>
      </w:r>
      <w:r>
        <w:rPr>
          <w:rFonts w:hint="eastAsia" w:ascii="宋体" w:hAnsi="宋体"/>
          <w:bCs/>
          <w:sz w:val="24"/>
          <w:szCs w:val="24"/>
        </w:rPr>
        <w:t>2021-2025</w:t>
      </w:r>
      <w:r>
        <w:rPr>
          <w:rFonts w:hint="default" w:ascii="宋体" w:hAnsi="宋体"/>
          <w:bCs/>
          <w:sz w:val="24"/>
          <w:szCs w:val="24"/>
        </w:rPr>
        <w:t>》中均对无纸化办案提出了明确要求，同时</w:t>
      </w:r>
      <w:r>
        <w:rPr>
          <w:rFonts w:hint="eastAsia" w:ascii="宋体" w:hAnsi="宋体"/>
          <w:bCs/>
          <w:sz w:val="24"/>
          <w:szCs w:val="24"/>
        </w:rPr>
        <w:t>省高院2025年</w:t>
      </w:r>
      <w:r>
        <w:rPr>
          <w:rFonts w:hint="default" w:ascii="宋体" w:hAnsi="宋体"/>
          <w:bCs/>
          <w:sz w:val="24"/>
          <w:szCs w:val="24"/>
        </w:rPr>
        <w:t>也提出全</w:t>
      </w:r>
      <w:r>
        <w:rPr>
          <w:rFonts w:hint="eastAsia" w:ascii="宋体" w:hAnsi="宋体"/>
          <w:bCs/>
          <w:sz w:val="24"/>
          <w:szCs w:val="24"/>
        </w:rPr>
        <w:t>省</w:t>
      </w:r>
      <w:r>
        <w:rPr>
          <w:rFonts w:hint="default" w:ascii="宋体" w:hAnsi="宋体"/>
          <w:bCs/>
          <w:sz w:val="24"/>
          <w:szCs w:val="24"/>
        </w:rPr>
        <w:t>法院</w:t>
      </w:r>
      <w:r>
        <w:rPr>
          <w:rFonts w:hint="eastAsia" w:ascii="宋体" w:hAnsi="宋体"/>
          <w:bCs/>
          <w:sz w:val="24"/>
          <w:szCs w:val="24"/>
        </w:rPr>
        <w:t>推广</w:t>
      </w:r>
      <w:r>
        <w:rPr>
          <w:rFonts w:hint="default" w:ascii="宋体" w:hAnsi="宋体"/>
          <w:bCs/>
          <w:sz w:val="24"/>
          <w:szCs w:val="24"/>
        </w:rPr>
        <w:t>以电子卷为主，纸质卷为辅的</w:t>
      </w:r>
      <w:r>
        <w:rPr>
          <w:rFonts w:hint="eastAsia" w:ascii="宋体" w:hAnsi="宋体"/>
          <w:bCs/>
          <w:sz w:val="24"/>
          <w:szCs w:val="24"/>
        </w:rPr>
        <w:t>无纸化</w:t>
      </w:r>
      <w:r>
        <w:rPr>
          <w:rFonts w:hint="default" w:ascii="宋体" w:hAnsi="宋体"/>
          <w:bCs/>
          <w:sz w:val="24"/>
          <w:szCs w:val="24"/>
        </w:rPr>
        <w:t>办理模式。我院从2019年开始</w:t>
      </w:r>
      <w:r>
        <w:rPr>
          <w:rFonts w:hint="eastAsia" w:ascii="宋体" w:hAnsi="宋体"/>
          <w:bCs/>
          <w:sz w:val="24"/>
          <w:szCs w:val="24"/>
        </w:rPr>
        <w:t>升级</w:t>
      </w:r>
      <w:r>
        <w:rPr>
          <w:rFonts w:hint="default" w:ascii="宋体" w:hAnsi="宋体"/>
          <w:bCs/>
          <w:sz w:val="24"/>
          <w:szCs w:val="24"/>
        </w:rPr>
        <w:t>电子卷宗系统并推行电子卷宗随案同步生成和深度应用的办案模式，取得较好的应用效果。现全流程无纸化办案</w:t>
      </w:r>
      <w:r>
        <w:rPr>
          <w:rFonts w:hint="eastAsia" w:ascii="宋体" w:hAnsi="宋体"/>
          <w:bCs/>
          <w:sz w:val="24"/>
          <w:szCs w:val="24"/>
        </w:rPr>
        <w:t>时机已经</w:t>
      </w:r>
      <w:r>
        <w:rPr>
          <w:rFonts w:hint="default" w:ascii="宋体" w:hAnsi="宋体"/>
          <w:bCs/>
          <w:sz w:val="24"/>
          <w:szCs w:val="24"/>
        </w:rPr>
        <w:t>成熟，本项目将充分借鉴省内外先行法院案例“取长补短”，高起点高标准建立一套能切实带来成效的以“电子卷宗”为核心，贯穿</w:t>
      </w:r>
      <w:r>
        <w:rPr>
          <w:rFonts w:hint="eastAsia" w:ascii="宋体" w:hAnsi="宋体"/>
          <w:bCs/>
          <w:sz w:val="24"/>
          <w:szCs w:val="24"/>
        </w:rPr>
        <w:t>立</w:t>
      </w:r>
      <w:r>
        <w:rPr>
          <w:rFonts w:hint="default" w:ascii="宋体" w:hAnsi="宋体"/>
          <w:bCs/>
          <w:sz w:val="24"/>
          <w:szCs w:val="24"/>
        </w:rPr>
        <w:t>、审、执一体化全流程无纸化</w:t>
      </w:r>
      <w:r>
        <w:rPr>
          <w:rFonts w:hint="eastAsia" w:ascii="宋体" w:hAnsi="宋体"/>
          <w:bCs/>
          <w:sz w:val="24"/>
          <w:szCs w:val="24"/>
        </w:rPr>
        <w:t>办案体系</w:t>
      </w:r>
      <w:r>
        <w:rPr>
          <w:rFonts w:hint="default" w:ascii="宋体" w:hAnsi="宋体"/>
          <w:bCs/>
          <w:sz w:val="24"/>
          <w:szCs w:val="24"/>
        </w:rPr>
        <w:t>，能够更好的服务群众、服务法官、服务管理。通过采购</w:t>
      </w:r>
      <w:r>
        <w:rPr>
          <w:rFonts w:hint="eastAsia" w:ascii="宋体" w:hAnsi="宋体"/>
          <w:bCs/>
          <w:sz w:val="24"/>
          <w:szCs w:val="24"/>
        </w:rPr>
        <w:t>全流程无纸化办案</w:t>
      </w:r>
      <w:r>
        <w:rPr>
          <w:rFonts w:hint="default" w:ascii="宋体" w:hAnsi="宋体"/>
          <w:bCs/>
          <w:sz w:val="24"/>
          <w:szCs w:val="24"/>
        </w:rPr>
        <w:t>配套服务，将案件办理中产生的纸质材料同步电子化，电子卷宗随办案进程同步生成并线上流转，支撑办案人员线上阅卷、远程调解、电子质证、文书生成、电子送达，让办案人员专注核心事务，提高办案质效。</w:t>
      </w:r>
    </w:p>
    <w:p w14:paraId="0B67F003">
      <w:pPr>
        <w:widowControl/>
        <w:spacing w:line="520" w:lineRule="exact"/>
        <w:ind w:firstLine="551"/>
        <w:jc w:val="left"/>
        <w:rPr>
          <w:rFonts w:ascii="宋体" w:hAnsi="宋体"/>
          <w:b/>
          <w:bCs/>
          <w:sz w:val="28"/>
          <w:szCs w:val="28"/>
        </w:rPr>
      </w:pPr>
      <w:r>
        <w:rPr>
          <w:rFonts w:hint="eastAsia" w:ascii="宋体" w:hAnsi="宋体"/>
          <w:b/>
          <w:bCs/>
          <w:sz w:val="28"/>
          <w:szCs w:val="28"/>
        </w:rPr>
        <w:t>三、建设目标</w:t>
      </w:r>
    </w:p>
    <w:p w14:paraId="09F81721">
      <w:pPr>
        <w:tabs>
          <w:tab w:val="left" w:pos="945"/>
        </w:tabs>
        <w:spacing w:line="520" w:lineRule="exact"/>
        <w:ind w:firstLine="480"/>
        <w:jc w:val="left"/>
        <w:rPr>
          <w:rFonts w:ascii="宋体" w:hAnsi="宋体"/>
          <w:bCs/>
          <w:sz w:val="24"/>
          <w:szCs w:val="24"/>
        </w:rPr>
      </w:pPr>
      <w:r>
        <w:rPr>
          <w:rFonts w:hint="eastAsia" w:ascii="宋体" w:hAnsi="宋体"/>
          <w:bCs/>
          <w:sz w:val="24"/>
          <w:szCs w:val="24"/>
        </w:rPr>
        <w:t>构建泗阳法院无纸化办案的业务流程及应用场景，重塑工作机制，建立</w:t>
      </w:r>
      <w:bookmarkStart w:id="1" w:name="_Hlk34311410"/>
      <w:r>
        <w:rPr>
          <w:rFonts w:hint="eastAsia" w:ascii="宋体" w:hAnsi="宋体"/>
          <w:bCs/>
          <w:sz w:val="24"/>
          <w:szCs w:val="24"/>
        </w:rPr>
        <w:t>电子卷宗随案同步生成机制，纸质卷宗集中保管机制，推进以“电子卷宗为主、纸质卷宗为辅”的归档和辅助事务集约化管理模式</w:t>
      </w:r>
      <w:bookmarkEnd w:id="1"/>
      <w:r>
        <w:rPr>
          <w:rFonts w:hint="eastAsia" w:ascii="宋体" w:hAnsi="宋体"/>
          <w:bCs/>
          <w:sz w:val="24"/>
          <w:szCs w:val="24"/>
        </w:rPr>
        <w:t>。通过剥离审判辅助事务交由专人办理，让法官从繁杂的审判辅助事务中解放出来，专注于“审、判、写”。同时，也促进了审判辅助事务实现专业化、高效化和集约化。司法辅助事务集约化、专业化管理后，推进了人员分类管理，法官事务性工作减少50%以上，法官主体地位更加凸显，保障了司法责任制的有效落实，对办案工作起到减负增量作用。</w:t>
      </w:r>
    </w:p>
    <w:p w14:paraId="4E4D9336">
      <w:pPr>
        <w:widowControl/>
        <w:spacing w:line="520" w:lineRule="exact"/>
        <w:ind w:firstLine="562"/>
        <w:jc w:val="left"/>
        <w:rPr>
          <w:rFonts w:ascii="宋体" w:hAnsi="宋体"/>
          <w:b/>
          <w:bCs/>
          <w:sz w:val="28"/>
          <w:szCs w:val="28"/>
        </w:rPr>
      </w:pPr>
      <w:r>
        <w:rPr>
          <w:rFonts w:hint="eastAsia" w:ascii="宋体" w:hAnsi="宋体"/>
          <w:b/>
          <w:bCs/>
          <w:sz w:val="28"/>
          <w:szCs w:val="28"/>
        </w:rPr>
        <w:t>四、服务期限</w:t>
      </w:r>
    </w:p>
    <w:p w14:paraId="279033D8">
      <w:pPr>
        <w:spacing w:line="520" w:lineRule="exact"/>
        <w:ind w:firstLine="480"/>
        <w:jc w:val="left"/>
        <w:rPr>
          <w:rFonts w:ascii="宋体" w:hAnsi="宋体"/>
          <w:sz w:val="24"/>
          <w:szCs w:val="24"/>
        </w:rPr>
      </w:pPr>
      <w:r>
        <w:rPr>
          <w:rFonts w:hint="eastAsia" w:ascii="宋体" w:hAnsi="宋体"/>
          <w:bCs/>
          <w:sz w:val="24"/>
          <w:szCs w:val="24"/>
        </w:rPr>
        <w:t>服务期限：1年</w:t>
      </w:r>
      <w:r>
        <w:rPr>
          <w:rFonts w:hint="eastAsia" w:ascii="宋体" w:hAnsi="宋体"/>
          <w:color w:val="000000"/>
          <w:sz w:val="24"/>
          <w:szCs w:val="24"/>
        </w:rPr>
        <w:t>（</w:t>
      </w:r>
      <w:r>
        <w:rPr>
          <w:rFonts w:hint="eastAsia" w:ascii="宋体" w:hAnsi="宋体"/>
          <w:bCs/>
          <w:sz w:val="24"/>
          <w:szCs w:val="24"/>
        </w:rPr>
        <w:t>自合同签订之日起计）。</w:t>
      </w:r>
    </w:p>
    <w:p w14:paraId="2CFC00C8">
      <w:pPr>
        <w:widowControl/>
        <w:spacing w:line="520" w:lineRule="exact"/>
        <w:ind w:firstLine="480"/>
        <w:jc w:val="left"/>
        <w:rPr>
          <w:rFonts w:ascii="宋体" w:hAnsi="宋体"/>
          <w:bCs/>
          <w:sz w:val="24"/>
          <w:szCs w:val="24"/>
        </w:rPr>
      </w:pPr>
      <w:r>
        <w:rPr>
          <w:rFonts w:hint="eastAsia" w:ascii="宋体" w:hAnsi="宋体"/>
          <w:bCs/>
          <w:sz w:val="24"/>
          <w:szCs w:val="24"/>
        </w:rPr>
        <w:t>根据项目总体需求，合理安排工作进度，工作进度安排应合理、可靠、切实可行。</w:t>
      </w:r>
    </w:p>
    <w:p w14:paraId="630B5B26">
      <w:pPr>
        <w:widowControl/>
        <w:spacing w:line="520" w:lineRule="exact"/>
        <w:ind w:firstLine="480"/>
        <w:jc w:val="left"/>
        <w:rPr>
          <w:rFonts w:ascii="宋体" w:hAnsi="宋体"/>
          <w:bCs/>
          <w:sz w:val="24"/>
          <w:szCs w:val="24"/>
        </w:rPr>
      </w:pPr>
      <w:r>
        <w:rPr>
          <w:rFonts w:hint="eastAsia" w:ascii="宋体" w:hAnsi="宋体"/>
          <w:bCs/>
          <w:sz w:val="24"/>
          <w:szCs w:val="24"/>
        </w:rPr>
        <w:t>本项目要求成交供应商于合同签订后10个工作日内完成相关软、硬件配备、无纸化业务流程梳理及全面开展服务。</w:t>
      </w:r>
    </w:p>
    <w:p w14:paraId="461B7DE7">
      <w:pPr>
        <w:widowControl/>
        <w:spacing w:line="520" w:lineRule="exact"/>
        <w:ind w:firstLine="560"/>
        <w:jc w:val="left"/>
        <w:rPr>
          <w:rFonts w:ascii="宋体" w:hAnsi="宋体"/>
          <w:b/>
          <w:bCs/>
          <w:sz w:val="28"/>
          <w:szCs w:val="28"/>
        </w:rPr>
      </w:pPr>
      <w:r>
        <w:rPr>
          <w:rFonts w:ascii="宋体" w:hAnsi="宋体"/>
          <w:bCs/>
          <w:sz w:val="28"/>
          <w:szCs w:val="28"/>
        </w:rPr>
        <w:t>★</w:t>
      </w:r>
      <w:r>
        <w:rPr>
          <w:rFonts w:hint="eastAsia" w:ascii="宋体" w:hAnsi="宋体"/>
          <w:b/>
          <w:bCs/>
          <w:sz w:val="28"/>
          <w:szCs w:val="28"/>
        </w:rPr>
        <w:t>五、采购清单</w:t>
      </w:r>
    </w:p>
    <w:p w14:paraId="3AC1094E">
      <w:pPr>
        <w:widowControl/>
        <w:spacing w:line="520" w:lineRule="exact"/>
        <w:ind w:firstLine="480"/>
        <w:jc w:val="left"/>
        <w:rPr>
          <w:rFonts w:hint="eastAsia" w:ascii="宋体" w:hAnsi="宋体"/>
          <w:bCs/>
          <w:sz w:val="24"/>
          <w:szCs w:val="24"/>
        </w:rPr>
      </w:pPr>
      <w:r>
        <w:rPr>
          <w:rFonts w:ascii="宋体" w:hAnsi="宋体"/>
          <w:bCs/>
          <w:sz w:val="24"/>
          <w:szCs w:val="24"/>
        </w:rPr>
        <w:t>为全面落实省、市法院全流程无纸化办案、一站式多元解纷和诉讼服务体系建设有关工作要求，宿迁市</w:t>
      </w:r>
      <w:r>
        <w:rPr>
          <w:rFonts w:hint="eastAsia" w:ascii="宋体" w:hAnsi="宋体"/>
          <w:bCs/>
          <w:sz w:val="24"/>
          <w:szCs w:val="24"/>
        </w:rPr>
        <w:t>泗阳县</w:t>
      </w:r>
      <w:r>
        <w:rPr>
          <w:rFonts w:ascii="宋体" w:hAnsi="宋体"/>
          <w:bCs/>
          <w:sz w:val="24"/>
          <w:szCs w:val="24"/>
        </w:rPr>
        <w:t>人民院计划通过采购专业外包服务开展工作，主要服务内容包括全流程无纸化办案服务和诉讼服务。</w:t>
      </w:r>
    </w:p>
    <w:p w14:paraId="6E401327">
      <w:pPr>
        <w:widowControl/>
        <w:spacing w:line="520" w:lineRule="exact"/>
        <w:ind w:firstLine="480"/>
        <w:jc w:val="left"/>
        <w:rPr>
          <w:rFonts w:hint="eastAsia" w:ascii="宋体" w:hAnsi="宋体"/>
          <w:bCs/>
          <w:sz w:val="24"/>
          <w:szCs w:val="24"/>
        </w:rPr>
      </w:pPr>
      <w:r>
        <w:rPr>
          <w:rFonts w:ascii="宋体" w:hAnsi="宋体"/>
          <w:bCs/>
          <w:sz w:val="24"/>
          <w:szCs w:val="24"/>
        </w:rPr>
        <w:t>诉讼服务主要工作内容包括：诉讼引导、立案登记、立案扫描等。</w:t>
      </w:r>
    </w:p>
    <w:p w14:paraId="789604FC">
      <w:pPr>
        <w:widowControl/>
        <w:spacing w:line="520" w:lineRule="exact"/>
        <w:ind w:firstLine="480"/>
        <w:jc w:val="left"/>
        <w:rPr>
          <w:rFonts w:ascii="宋体" w:hAnsi="宋体"/>
          <w:bCs/>
          <w:sz w:val="24"/>
          <w:szCs w:val="24"/>
        </w:rPr>
      </w:pPr>
      <w:r>
        <w:rPr>
          <w:rFonts w:ascii="宋体" w:hAnsi="宋体"/>
          <w:bCs/>
          <w:sz w:val="24"/>
          <w:szCs w:val="24"/>
        </w:rPr>
        <w:t>无纸化办案配套服务主要工作内容包括：</w:t>
      </w:r>
      <w:r>
        <w:rPr>
          <w:rFonts w:hint="eastAsia" w:ascii="宋体" w:hAnsi="宋体"/>
          <w:bCs/>
          <w:sz w:val="24"/>
          <w:szCs w:val="24"/>
        </w:rPr>
        <w:t>材料收转、</w:t>
      </w:r>
      <w:r>
        <w:rPr>
          <w:rFonts w:ascii="宋体" w:hAnsi="宋体"/>
          <w:bCs/>
          <w:sz w:val="24"/>
          <w:szCs w:val="24"/>
        </w:rPr>
        <w:t>补充扫描、中间库管理、一键归档、纸质卷整理和</w:t>
      </w:r>
      <w:r>
        <w:rPr>
          <w:rFonts w:hint="eastAsia" w:ascii="宋体" w:hAnsi="宋体"/>
          <w:bCs/>
          <w:sz w:val="24"/>
          <w:szCs w:val="24"/>
        </w:rPr>
        <w:t>档案</w:t>
      </w:r>
      <w:r>
        <w:rPr>
          <w:rFonts w:ascii="宋体" w:hAnsi="宋体"/>
          <w:bCs/>
          <w:sz w:val="24"/>
          <w:szCs w:val="24"/>
        </w:rPr>
        <w:t>装订等。</w:t>
      </w:r>
    </w:p>
    <w:tbl>
      <w:tblPr>
        <w:tblStyle w:val="2"/>
        <w:tblW w:w="86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674"/>
        <w:gridCol w:w="1134"/>
        <w:gridCol w:w="2835"/>
        <w:gridCol w:w="2264"/>
      </w:tblGrid>
      <w:tr w14:paraId="0EB99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790" w:type="dxa"/>
            <w:shd w:val="clear" w:color="auto" w:fill="FFFFFF"/>
            <w:noWrap w:val="0"/>
            <w:vAlign w:val="top"/>
          </w:tcPr>
          <w:p w14:paraId="71F84B45">
            <w:pPr>
              <w:jc w:val="center"/>
              <w:rPr>
                <w:rFonts w:ascii="宋体" w:hAnsi="宋体" w:cs="宋体"/>
                <w:b/>
                <w:color w:val="000000"/>
                <w:sz w:val="24"/>
                <w:szCs w:val="24"/>
                <w:lang w:val="zh-CN" w:bidi="zh-CN"/>
              </w:rPr>
            </w:pPr>
            <w:r>
              <w:rPr>
                <w:rFonts w:hint="eastAsia" w:ascii="宋体" w:hAnsi="宋体" w:cs="宋体"/>
                <w:b/>
                <w:color w:val="000000"/>
                <w:sz w:val="24"/>
                <w:szCs w:val="24"/>
                <w:lang w:val="zh-CN" w:bidi="zh-CN"/>
              </w:rPr>
              <w:t>序号</w:t>
            </w:r>
          </w:p>
        </w:tc>
        <w:tc>
          <w:tcPr>
            <w:tcW w:w="1674" w:type="dxa"/>
            <w:shd w:val="clear" w:color="auto" w:fill="FFFFFF"/>
            <w:noWrap w:val="0"/>
            <w:vAlign w:val="top"/>
          </w:tcPr>
          <w:p w14:paraId="1EEAB996">
            <w:pPr>
              <w:jc w:val="center"/>
              <w:rPr>
                <w:rFonts w:ascii="宋体" w:hAnsi="宋体" w:cs="宋体"/>
                <w:b/>
                <w:color w:val="000000"/>
                <w:sz w:val="24"/>
                <w:szCs w:val="24"/>
                <w:lang w:val="zh-CN" w:bidi="zh-CN"/>
              </w:rPr>
            </w:pPr>
            <w:r>
              <w:rPr>
                <w:rFonts w:hint="eastAsia" w:ascii="宋体" w:hAnsi="宋体" w:cs="宋体"/>
                <w:b/>
                <w:color w:val="000000"/>
                <w:sz w:val="24"/>
                <w:szCs w:val="24"/>
                <w:lang w:val="zh-CN" w:bidi="zh-CN"/>
              </w:rPr>
              <w:t>服务类别</w:t>
            </w:r>
          </w:p>
        </w:tc>
        <w:tc>
          <w:tcPr>
            <w:tcW w:w="1134" w:type="dxa"/>
            <w:shd w:val="clear" w:color="auto" w:fill="FFFFFF"/>
            <w:noWrap w:val="0"/>
            <w:vAlign w:val="top"/>
          </w:tcPr>
          <w:p w14:paraId="05859E67">
            <w:pPr>
              <w:jc w:val="center"/>
              <w:rPr>
                <w:rFonts w:ascii="宋体" w:hAnsi="宋体" w:cs="宋体"/>
                <w:b/>
                <w:color w:val="000000"/>
                <w:sz w:val="24"/>
                <w:szCs w:val="24"/>
                <w:lang w:val="zh-CN" w:bidi="zh-CN"/>
              </w:rPr>
            </w:pPr>
            <w:r>
              <w:rPr>
                <w:rFonts w:hint="eastAsia" w:ascii="宋体" w:hAnsi="宋体" w:cs="宋体"/>
                <w:b/>
                <w:color w:val="000000"/>
                <w:sz w:val="24"/>
                <w:szCs w:val="24"/>
                <w:lang w:val="zh-CN" w:bidi="zh-CN"/>
              </w:rPr>
              <w:t>人员数量</w:t>
            </w:r>
          </w:p>
        </w:tc>
        <w:tc>
          <w:tcPr>
            <w:tcW w:w="2835" w:type="dxa"/>
            <w:tcBorders>
              <w:right w:val="single" w:color="000000" w:sz="4" w:space="0"/>
            </w:tcBorders>
            <w:shd w:val="clear" w:color="auto" w:fill="FFFFFF"/>
            <w:noWrap w:val="0"/>
            <w:vAlign w:val="top"/>
          </w:tcPr>
          <w:p w14:paraId="554D753B">
            <w:pPr>
              <w:jc w:val="center"/>
              <w:rPr>
                <w:rFonts w:ascii="宋体" w:hAnsi="宋体" w:cs="宋体"/>
                <w:b/>
                <w:color w:val="000000"/>
                <w:sz w:val="24"/>
                <w:szCs w:val="24"/>
                <w:lang w:val="zh-CN" w:bidi="zh-CN"/>
              </w:rPr>
            </w:pPr>
            <w:r>
              <w:rPr>
                <w:rFonts w:hint="eastAsia" w:ascii="宋体" w:hAnsi="宋体" w:cs="宋体"/>
                <w:b/>
                <w:color w:val="000000"/>
                <w:sz w:val="24"/>
                <w:szCs w:val="24"/>
                <w:lang w:val="zh-CN" w:bidi="zh-CN"/>
              </w:rPr>
              <w:t>岗位要求</w:t>
            </w:r>
          </w:p>
        </w:tc>
        <w:tc>
          <w:tcPr>
            <w:tcW w:w="2264" w:type="dxa"/>
            <w:tcBorders>
              <w:left w:val="single" w:color="000000" w:sz="4" w:space="0"/>
            </w:tcBorders>
            <w:shd w:val="clear" w:color="auto" w:fill="FFFFFF"/>
            <w:noWrap w:val="0"/>
            <w:vAlign w:val="top"/>
          </w:tcPr>
          <w:p w14:paraId="1A390DCC">
            <w:pPr>
              <w:jc w:val="center"/>
              <w:rPr>
                <w:rFonts w:ascii="宋体" w:hAnsi="宋体" w:cs="宋体"/>
                <w:b/>
                <w:color w:val="000000"/>
                <w:sz w:val="24"/>
                <w:szCs w:val="24"/>
                <w:lang w:val="zh-CN" w:bidi="zh-CN"/>
              </w:rPr>
            </w:pPr>
            <w:r>
              <w:rPr>
                <w:rFonts w:ascii="宋体" w:hAnsi="宋体" w:cs="宋体"/>
                <w:b/>
                <w:color w:val="000000"/>
                <w:sz w:val="24"/>
                <w:szCs w:val="24"/>
                <w:lang w:val="zh-CN" w:bidi="zh-CN"/>
              </w:rPr>
              <w:t>服务要求</w:t>
            </w:r>
          </w:p>
        </w:tc>
      </w:tr>
      <w:tr w14:paraId="7B60F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90" w:type="dxa"/>
            <w:shd w:val="clear" w:color="auto" w:fill="FFFFFF"/>
            <w:noWrap w:val="0"/>
            <w:vAlign w:val="center"/>
          </w:tcPr>
          <w:p w14:paraId="49997A08">
            <w:pPr>
              <w:jc w:val="center"/>
              <w:rPr>
                <w:rFonts w:ascii="宋体" w:hAnsi="宋体" w:cs="宋体"/>
                <w:color w:val="000000"/>
                <w:sz w:val="24"/>
                <w:szCs w:val="24"/>
                <w:lang w:val="zh-CN" w:bidi="zh-CN"/>
              </w:rPr>
            </w:pPr>
            <w:r>
              <w:rPr>
                <w:rFonts w:hint="eastAsia" w:ascii="宋体" w:hAnsi="宋体" w:cs="宋体"/>
                <w:color w:val="000000"/>
                <w:sz w:val="24"/>
                <w:szCs w:val="24"/>
                <w:lang w:val="zh-CN" w:bidi="zh-CN"/>
              </w:rPr>
              <w:t>1</w:t>
            </w:r>
          </w:p>
        </w:tc>
        <w:tc>
          <w:tcPr>
            <w:tcW w:w="1674" w:type="dxa"/>
            <w:shd w:val="clear" w:color="auto" w:fill="FFFFFF"/>
            <w:noWrap w:val="0"/>
            <w:vAlign w:val="center"/>
          </w:tcPr>
          <w:p w14:paraId="5F05DF97">
            <w:pPr>
              <w:rPr>
                <w:rFonts w:ascii="宋体" w:hAnsi="宋体" w:cs="宋体"/>
                <w:color w:val="000000"/>
                <w:sz w:val="24"/>
                <w:szCs w:val="24"/>
                <w:lang w:val="zh-CN" w:bidi="zh-CN"/>
              </w:rPr>
            </w:pPr>
            <w:r>
              <w:rPr>
                <w:rFonts w:hint="eastAsia" w:ascii="宋体" w:hAnsi="宋体" w:cs="宋体"/>
                <w:color w:val="000000"/>
                <w:sz w:val="24"/>
                <w:szCs w:val="24"/>
                <w:lang w:val="zh-CN" w:bidi="zh-CN"/>
              </w:rPr>
              <w:t>诉讼服务</w:t>
            </w:r>
          </w:p>
        </w:tc>
        <w:tc>
          <w:tcPr>
            <w:tcW w:w="1134" w:type="dxa"/>
            <w:shd w:val="clear" w:color="auto" w:fill="FFFFFF"/>
            <w:noWrap w:val="0"/>
            <w:vAlign w:val="center"/>
          </w:tcPr>
          <w:p w14:paraId="123C26DA">
            <w:pPr>
              <w:jc w:val="center"/>
              <w:rPr>
                <w:rFonts w:ascii="宋体" w:hAnsi="宋体" w:cs="宋体"/>
                <w:color w:val="000000"/>
                <w:sz w:val="24"/>
                <w:szCs w:val="24"/>
                <w:lang w:val="zh-CN" w:bidi="zh-CN"/>
              </w:rPr>
            </w:pPr>
            <w:r>
              <w:rPr>
                <w:rFonts w:hint="eastAsia" w:ascii="宋体" w:hAnsi="宋体" w:cs="宋体"/>
                <w:color w:val="000000"/>
                <w:sz w:val="24"/>
                <w:szCs w:val="24"/>
                <w:lang w:val="zh-CN" w:bidi="zh-CN"/>
              </w:rPr>
              <w:t>4 名</w:t>
            </w:r>
          </w:p>
        </w:tc>
        <w:tc>
          <w:tcPr>
            <w:tcW w:w="2835" w:type="dxa"/>
            <w:tcBorders>
              <w:right w:val="single" w:color="000000" w:sz="4" w:space="0"/>
            </w:tcBorders>
            <w:shd w:val="clear" w:color="auto" w:fill="FFFFFF"/>
            <w:noWrap w:val="0"/>
            <w:vAlign w:val="top"/>
          </w:tcPr>
          <w:p w14:paraId="17ED52BE">
            <w:pPr>
              <w:rPr>
                <w:rFonts w:ascii="宋体" w:hAnsi="宋体" w:cs="宋体"/>
                <w:color w:val="000000"/>
                <w:sz w:val="24"/>
                <w:szCs w:val="24"/>
                <w:lang w:val="zh-CN" w:bidi="zh-CN"/>
              </w:rPr>
            </w:pPr>
          </w:p>
          <w:p w14:paraId="317BBCA5">
            <w:pPr>
              <w:rPr>
                <w:rFonts w:ascii="宋体" w:hAnsi="宋体" w:cs="宋体"/>
                <w:color w:val="000000"/>
                <w:sz w:val="24"/>
                <w:szCs w:val="24"/>
                <w:lang w:val="zh-CN" w:bidi="zh-CN"/>
              </w:rPr>
            </w:pPr>
            <w:r>
              <w:rPr>
                <w:rFonts w:hint="eastAsia" w:ascii="宋体" w:hAnsi="宋体" w:cs="宋体"/>
                <w:color w:val="000000"/>
                <w:sz w:val="24"/>
                <w:szCs w:val="24"/>
                <w:lang w:val="zh-CN" w:bidi="zh-CN"/>
              </w:rPr>
              <w:t>包括：诉讼引导、审判立案登记等服务。</w:t>
            </w:r>
          </w:p>
        </w:tc>
        <w:tc>
          <w:tcPr>
            <w:tcW w:w="2264" w:type="dxa"/>
            <w:tcBorders>
              <w:left w:val="single" w:color="000000" w:sz="4" w:space="0"/>
            </w:tcBorders>
            <w:shd w:val="clear" w:color="auto" w:fill="FFFFFF"/>
            <w:noWrap w:val="0"/>
            <w:vAlign w:val="top"/>
          </w:tcPr>
          <w:p w14:paraId="4ADA0405">
            <w:pPr>
              <w:rPr>
                <w:rFonts w:ascii="宋体" w:hAnsi="宋体" w:cs="宋体"/>
                <w:color w:val="000000"/>
                <w:sz w:val="24"/>
                <w:szCs w:val="24"/>
                <w:lang w:val="zh-CN" w:bidi="zh-CN"/>
              </w:rPr>
            </w:pPr>
            <w:r>
              <w:rPr>
                <w:rFonts w:hint="eastAsia" w:ascii="宋体" w:hAnsi="宋体" w:cs="宋体"/>
                <w:color w:val="000000"/>
                <w:sz w:val="24"/>
                <w:szCs w:val="24"/>
                <w:lang w:val="zh-CN" w:bidi="zh-CN"/>
              </w:rPr>
              <w:t>负责服务期内所有立案案件的立案登记工作</w:t>
            </w:r>
            <w:r>
              <w:rPr>
                <w:rFonts w:ascii="宋体" w:hAnsi="宋体" w:cs="宋体"/>
                <w:color w:val="000000"/>
                <w:sz w:val="24"/>
                <w:szCs w:val="24"/>
                <w:lang w:val="zh-CN" w:bidi="zh-CN"/>
              </w:rPr>
              <w:t>；</w:t>
            </w:r>
          </w:p>
          <w:p w14:paraId="3DA4D1D1">
            <w:pPr>
              <w:rPr>
                <w:rFonts w:ascii="宋体" w:hAnsi="宋体" w:cs="宋体"/>
                <w:color w:val="000000"/>
                <w:sz w:val="24"/>
                <w:szCs w:val="24"/>
                <w:lang w:val="zh-CN" w:bidi="zh-CN"/>
              </w:rPr>
            </w:pPr>
            <w:r>
              <w:rPr>
                <w:rFonts w:ascii="宋体" w:hAnsi="宋体" w:cs="宋体"/>
                <w:color w:val="000000"/>
                <w:sz w:val="24"/>
                <w:szCs w:val="24"/>
                <w:lang w:val="zh-CN" w:bidi="zh-CN"/>
              </w:rPr>
              <w:t>立案材料</w:t>
            </w:r>
            <w:r>
              <w:rPr>
                <w:rFonts w:hint="eastAsia" w:ascii="宋体" w:hAnsi="宋体" w:cs="宋体"/>
                <w:color w:val="000000"/>
                <w:sz w:val="24"/>
                <w:szCs w:val="24"/>
                <w:lang w:val="zh-CN" w:bidi="zh-CN"/>
              </w:rPr>
              <w:t>当日全部扫描完毕。</w:t>
            </w:r>
          </w:p>
        </w:tc>
      </w:tr>
      <w:tr w14:paraId="472FC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90" w:type="dxa"/>
            <w:shd w:val="clear" w:color="auto" w:fill="FFFFFF"/>
            <w:noWrap w:val="0"/>
            <w:vAlign w:val="center"/>
          </w:tcPr>
          <w:p w14:paraId="614174C7">
            <w:pPr>
              <w:jc w:val="center"/>
              <w:rPr>
                <w:rFonts w:ascii="宋体" w:hAnsi="宋体" w:cs="宋体"/>
                <w:color w:val="000000"/>
                <w:sz w:val="24"/>
                <w:szCs w:val="24"/>
                <w:lang w:val="zh-CN" w:bidi="zh-CN"/>
              </w:rPr>
            </w:pPr>
            <w:r>
              <w:rPr>
                <w:rFonts w:hint="eastAsia" w:ascii="宋体" w:hAnsi="宋体" w:cs="宋体"/>
                <w:color w:val="000000"/>
                <w:sz w:val="24"/>
                <w:szCs w:val="24"/>
                <w:lang w:val="zh-CN" w:bidi="zh-CN"/>
              </w:rPr>
              <w:t>2</w:t>
            </w:r>
          </w:p>
        </w:tc>
        <w:tc>
          <w:tcPr>
            <w:tcW w:w="1674" w:type="dxa"/>
            <w:shd w:val="clear" w:color="auto" w:fill="FFFFFF"/>
            <w:noWrap w:val="0"/>
            <w:vAlign w:val="center"/>
          </w:tcPr>
          <w:p w14:paraId="1450E17E">
            <w:pPr>
              <w:rPr>
                <w:rFonts w:ascii="宋体" w:hAnsi="宋体" w:cs="宋体"/>
                <w:color w:val="000000"/>
                <w:sz w:val="24"/>
                <w:szCs w:val="24"/>
                <w:lang w:val="zh-CN" w:bidi="zh-CN"/>
              </w:rPr>
            </w:pPr>
            <w:r>
              <w:rPr>
                <w:rFonts w:hint="eastAsia" w:ascii="宋体" w:hAnsi="宋体" w:cs="宋体"/>
                <w:color w:val="000000"/>
                <w:sz w:val="24"/>
                <w:szCs w:val="24"/>
                <w:lang w:val="zh-CN" w:bidi="zh-CN"/>
              </w:rPr>
              <w:t>无纸化办案服务</w:t>
            </w:r>
          </w:p>
        </w:tc>
        <w:tc>
          <w:tcPr>
            <w:tcW w:w="1134" w:type="dxa"/>
            <w:shd w:val="clear" w:color="auto" w:fill="FFFFFF"/>
            <w:noWrap w:val="0"/>
            <w:vAlign w:val="center"/>
          </w:tcPr>
          <w:p w14:paraId="1C4692F8">
            <w:pPr>
              <w:jc w:val="center"/>
              <w:rPr>
                <w:rFonts w:ascii="宋体" w:hAnsi="宋体" w:cs="宋体"/>
                <w:color w:val="000000"/>
                <w:sz w:val="24"/>
                <w:szCs w:val="24"/>
                <w:lang w:val="zh-CN" w:bidi="zh-CN"/>
              </w:rPr>
            </w:pPr>
            <w:r>
              <w:rPr>
                <w:rFonts w:hint="eastAsia" w:ascii="宋体" w:hAnsi="宋体" w:cs="宋体"/>
                <w:color w:val="000000"/>
                <w:sz w:val="24"/>
                <w:szCs w:val="24"/>
                <w:lang w:val="zh-CN" w:bidi="zh-CN"/>
              </w:rPr>
              <w:t>8 名</w:t>
            </w:r>
          </w:p>
        </w:tc>
        <w:tc>
          <w:tcPr>
            <w:tcW w:w="2835" w:type="dxa"/>
            <w:tcBorders>
              <w:right w:val="single" w:color="000000" w:sz="4" w:space="0"/>
            </w:tcBorders>
            <w:shd w:val="clear" w:color="auto" w:fill="FFFFFF"/>
            <w:noWrap w:val="0"/>
            <w:vAlign w:val="top"/>
          </w:tcPr>
          <w:p w14:paraId="1A982547">
            <w:pPr>
              <w:rPr>
                <w:rFonts w:ascii="宋体" w:hAnsi="宋体" w:cs="宋体"/>
                <w:color w:val="000000"/>
                <w:sz w:val="24"/>
                <w:szCs w:val="24"/>
                <w:lang w:val="zh-CN" w:bidi="zh-CN"/>
              </w:rPr>
            </w:pPr>
            <w:r>
              <w:rPr>
                <w:rFonts w:hint="eastAsia" w:ascii="宋体" w:hAnsi="宋体" w:cs="宋体"/>
                <w:color w:val="000000"/>
                <w:sz w:val="24"/>
                <w:szCs w:val="24"/>
                <w:lang w:val="zh-CN" w:bidi="zh-CN"/>
              </w:rPr>
              <w:t>包括：材料收转、立案扫描、补充扫描、卷宗管理、电子卷一键转档、纸质卷归档理卷、档案装订等服务。</w:t>
            </w:r>
          </w:p>
        </w:tc>
        <w:tc>
          <w:tcPr>
            <w:tcW w:w="2264" w:type="dxa"/>
            <w:tcBorders>
              <w:left w:val="single" w:color="000000" w:sz="4" w:space="0"/>
            </w:tcBorders>
            <w:shd w:val="clear" w:color="auto" w:fill="FFFFFF"/>
            <w:noWrap w:val="0"/>
            <w:vAlign w:val="top"/>
          </w:tcPr>
          <w:p w14:paraId="6463CD52">
            <w:pPr>
              <w:jc w:val="left"/>
              <w:rPr>
                <w:rFonts w:ascii="宋体" w:hAnsi="宋体" w:cs="宋体"/>
                <w:color w:val="000000"/>
                <w:sz w:val="24"/>
                <w:szCs w:val="24"/>
                <w:lang w:val="zh-CN" w:bidi="zh-CN"/>
              </w:rPr>
            </w:pPr>
            <w:r>
              <w:rPr>
                <w:rFonts w:ascii="宋体" w:hAnsi="宋体" w:cs="宋体"/>
                <w:color w:val="000000"/>
                <w:sz w:val="24"/>
                <w:szCs w:val="24"/>
                <w:lang w:val="zh-CN" w:bidi="zh-CN"/>
              </w:rPr>
              <w:t>负责速裁案件和执行案件的材料收转、补充扫描、中间库管理（卷宗存取）、电子卷一键转档、纸质卷宗整理（卷宗排序、打页码、目录）和卷宗装订等全部无纸化配套服务</w:t>
            </w:r>
          </w:p>
        </w:tc>
      </w:tr>
    </w:tbl>
    <w:p w14:paraId="5B536A8B">
      <w:pPr>
        <w:tabs>
          <w:tab w:val="left" w:pos="945"/>
        </w:tabs>
        <w:spacing w:line="520" w:lineRule="exact"/>
        <w:ind w:firstLine="482"/>
        <w:jc w:val="left"/>
        <w:rPr>
          <w:rFonts w:ascii="宋体" w:hAnsi="宋体"/>
          <w:bCs/>
          <w:sz w:val="24"/>
          <w:szCs w:val="24"/>
        </w:rPr>
      </w:pPr>
      <w:r>
        <w:rPr>
          <w:rFonts w:hint="eastAsia" w:ascii="宋体" w:hAnsi="宋体"/>
          <w:b/>
          <w:bCs/>
          <w:sz w:val="24"/>
          <w:szCs w:val="24"/>
        </w:rPr>
        <w:t>加“★”项为实质性响应内容，投标人必须完全响应。</w:t>
      </w:r>
    </w:p>
    <w:p w14:paraId="3A88359F">
      <w:pPr>
        <w:widowControl/>
        <w:spacing w:line="520" w:lineRule="exact"/>
        <w:ind w:firstLine="562"/>
        <w:jc w:val="left"/>
        <w:rPr>
          <w:rFonts w:ascii="宋体" w:hAnsi="宋体"/>
          <w:b/>
          <w:bCs/>
          <w:sz w:val="28"/>
          <w:szCs w:val="28"/>
        </w:rPr>
      </w:pPr>
      <w:bookmarkStart w:id="2" w:name="_Toc101058585"/>
      <w:bookmarkStart w:id="3" w:name="_Toc150154880"/>
      <w:r>
        <w:rPr>
          <w:rFonts w:hint="eastAsia" w:ascii="宋体" w:hAnsi="宋体"/>
          <w:b/>
          <w:bCs/>
          <w:sz w:val="28"/>
          <w:szCs w:val="28"/>
        </w:rPr>
        <w:t>六、服务要求</w:t>
      </w:r>
    </w:p>
    <w:p w14:paraId="7A9E446D">
      <w:pPr>
        <w:widowControl/>
        <w:spacing w:line="520" w:lineRule="exact"/>
        <w:ind w:firstLine="354"/>
        <w:jc w:val="left"/>
        <w:rPr>
          <w:rFonts w:ascii="宋体" w:hAnsi="宋体"/>
          <w:b/>
          <w:bCs/>
          <w:sz w:val="24"/>
          <w:szCs w:val="24"/>
        </w:rPr>
      </w:pPr>
      <w:r>
        <w:rPr>
          <w:rFonts w:hint="eastAsia" w:ascii="宋体" w:hAnsi="宋体"/>
          <w:b/>
          <w:bCs/>
          <w:sz w:val="24"/>
          <w:szCs w:val="24"/>
        </w:rPr>
        <w:t>（一）服务内容</w:t>
      </w:r>
    </w:p>
    <w:p w14:paraId="4D1D98AF">
      <w:pPr>
        <w:widowControl/>
        <w:spacing w:line="520" w:lineRule="exact"/>
        <w:ind w:firstLine="480"/>
        <w:jc w:val="left"/>
        <w:rPr>
          <w:rFonts w:ascii="宋体" w:hAnsi="宋体"/>
          <w:bCs/>
          <w:sz w:val="24"/>
          <w:szCs w:val="24"/>
        </w:rPr>
      </w:pPr>
      <w:r>
        <w:rPr>
          <w:rFonts w:hint="eastAsia" w:ascii="宋体" w:hAnsi="宋体"/>
          <w:bCs/>
          <w:sz w:val="24"/>
          <w:szCs w:val="24"/>
        </w:rPr>
        <w:t>1、供应商负责对宿迁市泗阳县人民法院合同期内立案的所有案件提供诉讼服务包括导诉、立案登记和立案扫描服务；</w:t>
      </w:r>
    </w:p>
    <w:p w14:paraId="4B738E7C">
      <w:pPr>
        <w:widowControl/>
        <w:spacing w:line="520" w:lineRule="exact"/>
        <w:ind w:firstLine="480"/>
        <w:jc w:val="left"/>
        <w:rPr>
          <w:rFonts w:ascii="宋体" w:hAnsi="宋体"/>
          <w:bCs/>
          <w:sz w:val="24"/>
          <w:szCs w:val="24"/>
        </w:rPr>
      </w:pPr>
      <w:r>
        <w:rPr>
          <w:rFonts w:hint="eastAsia" w:ascii="宋体" w:hAnsi="宋体"/>
          <w:bCs/>
          <w:sz w:val="24"/>
          <w:szCs w:val="24"/>
        </w:rPr>
        <w:t>2、对速裁案件和执行案件提供无纸化配套服务，包括材料收转、补充扫描、中间库管理（卷宗存取）、电子卷一键转档、纸质卷宗整理（卷宗排序、打页码、目录）和卷宗装订</w:t>
      </w:r>
      <w:r>
        <w:rPr>
          <w:rFonts w:hint="eastAsia" w:ascii="宋体" w:hAnsi="宋体"/>
          <w:bCs/>
          <w:sz w:val="24"/>
          <w:szCs w:val="24"/>
          <w:lang w:val="en-US" w:eastAsia="zh-CN"/>
        </w:rPr>
        <w:t>等</w:t>
      </w:r>
      <w:r>
        <w:rPr>
          <w:rFonts w:hint="eastAsia" w:ascii="宋体" w:hAnsi="宋体"/>
          <w:bCs/>
          <w:sz w:val="24"/>
          <w:szCs w:val="24"/>
        </w:rPr>
        <w:t>工作。</w:t>
      </w:r>
    </w:p>
    <w:p w14:paraId="700B91D8">
      <w:pPr>
        <w:widowControl/>
        <w:spacing w:line="520" w:lineRule="exact"/>
        <w:ind w:firstLine="480"/>
        <w:jc w:val="left"/>
        <w:rPr>
          <w:rFonts w:ascii="宋体" w:hAnsi="宋体"/>
          <w:bCs/>
          <w:sz w:val="24"/>
          <w:szCs w:val="24"/>
        </w:rPr>
      </w:pPr>
      <w:r>
        <w:rPr>
          <w:rFonts w:hint="eastAsia" w:ascii="宋体" w:hAnsi="宋体"/>
          <w:bCs/>
          <w:sz w:val="24"/>
          <w:szCs w:val="24"/>
        </w:rPr>
        <w:t>3、基础性配套服务</w:t>
      </w:r>
    </w:p>
    <w:p w14:paraId="06DA018D">
      <w:pPr>
        <w:widowControl/>
        <w:spacing w:line="520" w:lineRule="exact"/>
        <w:ind w:firstLine="600"/>
        <w:jc w:val="left"/>
        <w:rPr>
          <w:rFonts w:ascii="宋体" w:hAnsi="宋体"/>
          <w:bCs/>
          <w:sz w:val="24"/>
          <w:szCs w:val="24"/>
        </w:rPr>
      </w:pPr>
      <w:r>
        <w:rPr>
          <w:rFonts w:hint="eastAsia" w:ascii="宋体" w:hAnsi="宋体"/>
          <w:bCs/>
          <w:sz w:val="24"/>
          <w:szCs w:val="24"/>
        </w:rPr>
        <w:t>供应商应提供相关技术性服务和软、硬件基础性配套服务。</w:t>
      </w:r>
    </w:p>
    <w:p w14:paraId="49262815">
      <w:pPr>
        <w:widowControl/>
        <w:spacing w:line="520" w:lineRule="exact"/>
        <w:ind w:firstLine="354"/>
        <w:jc w:val="left"/>
        <w:rPr>
          <w:rFonts w:ascii="宋体" w:hAnsi="宋体"/>
          <w:b/>
          <w:bCs/>
          <w:sz w:val="24"/>
          <w:szCs w:val="24"/>
        </w:rPr>
      </w:pPr>
      <w:r>
        <w:rPr>
          <w:rFonts w:hint="eastAsia" w:ascii="宋体" w:hAnsi="宋体"/>
          <w:b/>
          <w:bCs/>
          <w:sz w:val="24"/>
          <w:szCs w:val="24"/>
        </w:rPr>
        <w:t>（二）技术需求</w:t>
      </w:r>
    </w:p>
    <w:p w14:paraId="527E3566">
      <w:pPr>
        <w:widowControl/>
        <w:spacing w:line="520" w:lineRule="exact"/>
        <w:ind w:firstLine="482"/>
        <w:jc w:val="left"/>
        <w:rPr>
          <w:rFonts w:ascii="宋体" w:hAnsi="宋体"/>
          <w:b/>
          <w:bCs/>
          <w:sz w:val="24"/>
          <w:szCs w:val="24"/>
        </w:rPr>
      </w:pPr>
      <w:r>
        <w:rPr>
          <w:rFonts w:hint="eastAsia" w:ascii="宋体" w:hAnsi="宋体"/>
          <w:b/>
          <w:bCs/>
          <w:sz w:val="24"/>
          <w:szCs w:val="24"/>
        </w:rPr>
        <w:t>1、诉讼服务需求</w:t>
      </w:r>
    </w:p>
    <w:p w14:paraId="44AF961A">
      <w:pPr>
        <w:widowControl/>
        <w:spacing w:line="520" w:lineRule="exact"/>
        <w:ind w:firstLine="482"/>
        <w:jc w:val="left"/>
        <w:rPr>
          <w:rFonts w:ascii="宋体" w:hAnsi="宋体"/>
          <w:b/>
          <w:bCs/>
          <w:sz w:val="24"/>
          <w:szCs w:val="24"/>
        </w:rPr>
      </w:pPr>
      <w:r>
        <w:rPr>
          <w:rFonts w:hint="eastAsia" w:ascii="宋体" w:hAnsi="宋体"/>
          <w:b/>
          <w:bCs/>
          <w:sz w:val="24"/>
          <w:szCs w:val="24"/>
        </w:rPr>
        <w:t>1.1</w:t>
      </w:r>
      <w:r>
        <w:rPr>
          <w:rFonts w:ascii="宋体" w:hAnsi="宋体"/>
          <w:b/>
          <w:bCs/>
          <w:sz w:val="24"/>
          <w:szCs w:val="24"/>
        </w:rPr>
        <w:t>诉讼引导</w:t>
      </w:r>
    </w:p>
    <w:p w14:paraId="77187603">
      <w:pPr>
        <w:widowControl/>
        <w:spacing w:line="520" w:lineRule="exact"/>
        <w:ind w:firstLine="480"/>
        <w:jc w:val="left"/>
        <w:rPr>
          <w:rFonts w:ascii="宋体" w:hAnsi="宋体"/>
          <w:bCs/>
          <w:sz w:val="24"/>
          <w:szCs w:val="24"/>
        </w:rPr>
      </w:pPr>
      <w:r>
        <w:rPr>
          <w:rFonts w:ascii="宋体" w:hAnsi="宋体"/>
          <w:bCs/>
          <w:sz w:val="24"/>
          <w:szCs w:val="24"/>
        </w:rPr>
        <w:t>（</w:t>
      </w:r>
      <w:r>
        <w:rPr>
          <w:rFonts w:hint="eastAsia" w:ascii="宋体" w:hAnsi="宋体"/>
          <w:bCs/>
          <w:sz w:val="24"/>
          <w:szCs w:val="24"/>
        </w:rPr>
        <w:t>1</w:t>
      </w:r>
      <w:r>
        <w:rPr>
          <w:rFonts w:ascii="宋体" w:hAnsi="宋体"/>
          <w:bCs/>
          <w:sz w:val="24"/>
          <w:szCs w:val="24"/>
        </w:rPr>
        <w:t>）为当事人提供必要的法律指导、办事指引，引导当事人选择最有利于化解纠纷的途径和通过自助设备办理诉讼事务。</w:t>
      </w:r>
    </w:p>
    <w:p w14:paraId="30AE3F79">
      <w:pPr>
        <w:widowControl/>
        <w:spacing w:line="520" w:lineRule="exact"/>
        <w:ind w:firstLine="480"/>
        <w:jc w:val="left"/>
        <w:rPr>
          <w:rFonts w:ascii="宋体" w:hAnsi="宋体"/>
          <w:bCs/>
          <w:sz w:val="24"/>
          <w:szCs w:val="24"/>
        </w:rPr>
      </w:pPr>
      <w:r>
        <w:rPr>
          <w:rFonts w:hint="eastAsia" w:ascii="宋体" w:hAnsi="宋体"/>
          <w:bCs/>
          <w:sz w:val="24"/>
          <w:szCs w:val="24"/>
        </w:rPr>
        <w:t>（2）</w:t>
      </w:r>
      <w:r>
        <w:rPr>
          <w:rFonts w:ascii="宋体" w:hAnsi="宋体"/>
          <w:bCs/>
          <w:sz w:val="24"/>
          <w:szCs w:val="24"/>
        </w:rPr>
        <w:t>甄别来访、来信当事人来意，对属于诉讼事项的(如起诉、上诉、申请再审、申诉)，引导或分流至诉讼服务大厅相应窗口办理:对属于信访事项的，引导或分流至信访接待大厅相应窗口办理。</w:t>
      </w:r>
    </w:p>
    <w:p w14:paraId="4177DC8D">
      <w:pPr>
        <w:widowControl/>
        <w:spacing w:line="520" w:lineRule="exact"/>
        <w:ind w:firstLine="482"/>
        <w:jc w:val="left"/>
        <w:rPr>
          <w:rFonts w:ascii="宋体" w:hAnsi="宋体"/>
          <w:b/>
          <w:bCs/>
          <w:sz w:val="24"/>
          <w:szCs w:val="24"/>
        </w:rPr>
      </w:pPr>
      <w:bookmarkStart w:id="4" w:name="_Toc107996965"/>
      <w:bookmarkStart w:id="5" w:name="_Toc42340800"/>
      <w:r>
        <w:rPr>
          <w:rFonts w:hint="eastAsia" w:ascii="宋体" w:hAnsi="宋体"/>
          <w:b/>
          <w:bCs/>
          <w:sz w:val="24"/>
          <w:szCs w:val="24"/>
        </w:rPr>
        <w:t>1.2立案登记服务</w:t>
      </w:r>
      <w:bookmarkEnd w:id="4"/>
      <w:bookmarkEnd w:id="5"/>
    </w:p>
    <w:p w14:paraId="4CC2759C">
      <w:pPr>
        <w:widowControl/>
        <w:spacing w:line="520" w:lineRule="exact"/>
        <w:ind w:firstLine="480"/>
        <w:jc w:val="left"/>
        <w:rPr>
          <w:rFonts w:ascii="宋体" w:hAnsi="宋体"/>
          <w:bCs/>
          <w:sz w:val="24"/>
          <w:szCs w:val="24"/>
        </w:rPr>
      </w:pPr>
      <w:r>
        <w:rPr>
          <w:rFonts w:hint="eastAsia" w:ascii="宋体" w:hAnsi="宋体"/>
          <w:bCs/>
          <w:sz w:val="24"/>
          <w:szCs w:val="24"/>
        </w:rPr>
        <w:t>（1）对当事人的诉讼请求进行甄别，</w:t>
      </w:r>
      <w:r>
        <w:rPr>
          <w:rFonts w:ascii="宋体" w:hAnsi="宋体"/>
          <w:bCs/>
          <w:sz w:val="24"/>
          <w:szCs w:val="24"/>
        </w:rPr>
        <w:t xml:space="preserve"> 确定诉讼性质， 指导当事人明确诉讼请求， 引导当事人通过网上立案系统申请立案登记。</w:t>
      </w:r>
    </w:p>
    <w:p w14:paraId="01A88C5C">
      <w:pPr>
        <w:widowControl/>
        <w:spacing w:line="520" w:lineRule="exact"/>
        <w:ind w:firstLine="480"/>
        <w:jc w:val="left"/>
        <w:rPr>
          <w:rFonts w:ascii="宋体" w:hAnsi="宋体"/>
          <w:bCs/>
          <w:sz w:val="24"/>
          <w:szCs w:val="24"/>
        </w:rPr>
      </w:pPr>
      <w:r>
        <w:rPr>
          <w:rFonts w:hint="eastAsia" w:ascii="宋体" w:hAnsi="宋体"/>
          <w:bCs/>
          <w:sz w:val="24"/>
          <w:szCs w:val="24"/>
        </w:rPr>
        <w:t>（2）对到窗口申请立案的当事人，引导其提供起诉状及相关材料</w:t>
      </w:r>
      <w:r>
        <w:rPr>
          <w:rFonts w:ascii="宋体" w:hAnsi="宋体"/>
          <w:bCs/>
          <w:sz w:val="24"/>
          <w:szCs w:val="24"/>
        </w:rPr>
        <w:t>,及时接收、审查案件材料，办理登记立案手续、完整录入案件信息。</w:t>
      </w:r>
    </w:p>
    <w:p w14:paraId="28B02D20">
      <w:pPr>
        <w:widowControl/>
        <w:spacing w:line="520" w:lineRule="exact"/>
        <w:ind w:firstLine="482"/>
        <w:jc w:val="left"/>
        <w:rPr>
          <w:rFonts w:ascii="宋体" w:hAnsi="宋体"/>
          <w:b/>
          <w:bCs/>
          <w:sz w:val="24"/>
          <w:szCs w:val="24"/>
        </w:rPr>
      </w:pPr>
      <w:r>
        <w:rPr>
          <w:rFonts w:hint="eastAsia" w:ascii="宋体" w:hAnsi="宋体"/>
          <w:b/>
          <w:bCs/>
          <w:sz w:val="24"/>
          <w:szCs w:val="24"/>
        </w:rPr>
        <w:t>1.3立案扫描服务</w:t>
      </w:r>
    </w:p>
    <w:p w14:paraId="12D0E105">
      <w:pPr>
        <w:widowControl/>
        <w:spacing w:line="520" w:lineRule="exact"/>
        <w:ind w:firstLine="480"/>
        <w:jc w:val="left"/>
        <w:rPr>
          <w:rFonts w:ascii="宋体" w:hAnsi="宋体"/>
          <w:bCs/>
          <w:sz w:val="24"/>
          <w:szCs w:val="24"/>
        </w:rPr>
      </w:pPr>
      <w:r>
        <w:rPr>
          <w:rFonts w:hint="eastAsia" w:ascii="宋体" w:hAnsi="宋体"/>
          <w:bCs/>
          <w:sz w:val="24"/>
          <w:szCs w:val="24"/>
        </w:rPr>
        <w:t>（1）供应商应按照阅卷习惯、档案级要求进行电子化服务。</w:t>
      </w:r>
    </w:p>
    <w:p w14:paraId="343851EE">
      <w:pPr>
        <w:widowControl/>
        <w:spacing w:line="520" w:lineRule="exact"/>
        <w:ind w:firstLine="480"/>
        <w:jc w:val="left"/>
        <w:rPr>
          <w:rFonts w:ascii="宋体" w:hAnsi="宋体"/>
          <w:bCs/>
          <w:sz w:val="24"/>
          <w:szCs w:val="24"/>
        </w:rPr>
      </w:pPr>
      <w:r>
        <w:rPr>
          <w:rFonts w:hint="eastAsia" w:ascii="宋体" w:hAnsi="宋体"/>
          <w:bCs/>
          <w:sz w:val="24"/>
          <w:szCs w:val="24"/>
        </w:rPr>
        <w:t>（2）供应商应在1日内完成纸质卷宗电子化工作，当日完成扫描的起诉立案材料当日移送中间库。</w:t>
      </w:r>
    </w:p>
    <w:p w14:paraId="5BDE7A91">
      <w:pPr>
        <w:widowControl/>
        <w:spacing w:line="520" w:lineRule="exact"/>
        <w:ind w:firstLine="480"/>
        <w:jc w:val="left"/>
        <w:rPr>
          <w:rFonts w:ascii="宋体" w:hAnsi="宋体"/>
          <w:bCs/>
          <w:sz w:val="24"/>
          <w:szCs w:val="24"/>
        </w:rPr>
      </w:pPr>
      <w:r>
        <w:rPr>
          <w:rFonts w:hint="eastAsia" w:ascii="宋体" w:hAnsi="宋体"/>
          <w:bCs/>
          <w:sz w:val="24"/>
          <w:szCs w:val="24"/>
        </w:rPr>
        <w:t>（3）供应商应制定完整，高效的起诉立案材料电子化标准作业流程和分类方案，提高立案效率及提升无纸化阅卷成效。</w:t>
      </w:r>
    </w:p>
    <w:p w14:paraId="30F6BD91">
      <w:pPr>
        <w:widowControl/>
        <w:spacing w:line="520" w:lineRule="exact"/>
        <w:ind w:firstLine="482"/>
        <w:jc w:val="left"/>
        <w:rPr>
          <w:rFonts w:ascii="宋体" w:hAnsi="宋体"/>
          <w:b/>
          <w:bCs/>
          <w:sz w:val="24"/>
          <w:szCs w:val="24"/>
        </w:rPr>
      </w:pPr>
      <w:r>
        <w:rPr>
          <w:rFonts w:hint="eastAsia" w:ascii="宋体" w:hAnsi="宋体"/>
          <w:b/>
          <w:bCs/>
          <w:sz w:val="24"/>
          <w:szCs w:val="24"/>
        </w:rPr>
        <w:t>2、无纸化办案配套服务需求</w:t>
      </w:r>
    </w:p>
    <w:p w14:paraId="727DC5F8">
      <w:pPr>
        <w:widowControl/>
        <w:spacing w:line="520" w:lineRule="exact"/>
        <w:ind w:firstLine="482"/>
        <w:jc w:val="left"/>
        <w:rPr>
          <w:rFonts w:ascii="宋体" w:hAnsi="宋体"/>
          <w:b/>
          <w:bCs/>
          <w:sz w:val="24"/>
          <w:szCs w:val="24"/>
        </w:rPr>
      </w:pPr>
      <w:r>
        <w:rPr>
          <w:rFonts w:hint="eastAsia" w:ascii="宋体" w:hAnsi="宋体"/>
          <w:b/>
          <w:bCs/>
          <w:sz w:val="24"/>
          <w:szCs w:val="24"/>
        </w:rPr>
        <w:t>2.1材料收转服务</w:t>
      </w:r>
    </w:p>
    <w:p w14:paraId="60678F1B">
      <w:pPr>
        <w:widowControl/>
        <w:spacing w:line="520" w:lineRule="exact"/>
        <w:ind w:firstLine="480"/>
        <w:jc w:val="left"/>
        <w:rPr>
          <w:rFonts w:ascii="宋体" w:hAnsi="宋体"/>
          <w:bCs/>
          <w:sz w:val="24"/>
          <w:szCs w:val="24"/>
        </w:rPr>
      </w:pPr>
      <w:r>
        <w:rPr>
          <w:rFonts w:hint="eastAsia" w:ascii="宋体" w:hAnsi="宋体"/>
          <w:bCs/>
          <w:sz w:val="24"/>
          <w:szCs w:val="24"/>
        </w:rPr>
        <w:t>（1）供应商应提供立案阶段先扫后立纸质卷宗整体流转运行机制。</w:t>
      </w:r>
    </w:p>
    <w:p w14:paraId="1D1CD528">
      <w:pPr>
        <w:widowControl/>
        <w:spacing w:line="520" w:lineRule="exact"/>
        <w:ind w:firstLine="480"/>
        <w:jc w:val="left"/>
        <w:rPr>
          <w:rFonts w:ascii="宋体" w:hAnsi="宋体"/>
          <w:bCs/>
          <w:sz w:val="24"/>
          <w:szCs w:val="24"/>
        </w:rPr>
      </w:pPr>
      <w:r>
        <w:rPr>
          <w:rFonts w:hint="eastAsia" w:ascii="宋体" w:hAnsi="宋体"/>
          <w:bCs/>
          <w:sz w:val="24"/>
          <w:szCs w:val="24"/>
        </w:rPr>
        <w:t>（2）供应商应提供材料收转环节针对现场立案，邮寄立案和巡回收集的工作方法。</w:t>
      </w:r>
    </w:p>
    <w:p w14:paraId="368C88FD">
      <w:pPr>
        <w:widowControl/>
        <w:spacing w:line="520" w:lineRule="exact"/>
        <w:ind w:firstLine="480"/>
        <w:jc w:val="left"/>
        <w:rPr>
          <w:rFonts w:ascii="宋体" w:hAnsi="宋体"/>
          <w:bCs/>
          <w:sz w:val="24"/>
          <w:szCs w:val="24"/>
        </w:rPr>
      </w:pPr>
      <w:r>
        <w:rPr>
          <w:rFonts w:hint="eastAsia" w:ascii="宋体" w:hAnsi="宋体"/>
          <w:bCs/>
          <w:sz w:val="24"/>
          <w:szCs w:val="24"/>
        </w:rPr>
        <w:t>（3）供应商应提供</w:t>
      </w:r>
      <w:r>
        <w:rPr>
          <w:rFonts w:ascii="宋体" w:hAnsi="宋体"/>
          <w:bCs/>
          <w:sz w:val="24"/>
          <w:szCs w:val="24"/>
        </w:rPr>
        <w:t>材料收转环节材料登记服务与材料质检服务</w:t>
      </w:r>
      <w:r>
        <w:rPr>
          <w:rFonts w:hint="eastAsia" w:ascii="宋体" w:hAnsi="宋体"/>
          <w:bCs/>
          <w:sz w:val="24"/>
          <w:szCs w:val="24"/>
        </w:rPr>
        <w:t>。</w:t>
      </w:r>
    </w:p>
    <w:p w14:paraId="62198EEA">
      <w:pPr>
        <w:widowControl/>
        <w:spacing w:line="520" w:lineRule="exact"/>
        <w:ind w:firstLine="482"/>
        <w:jc w:val="left"/>
        <w:rPr>
          <w:rFonts w:ascii="宋体" w:hAnsi="宋体"/>
          <w:b/>
          <w:bCs/>
          <w:sz w:val="24"/>
          <w:szCs w:val="24"/>
        </w:rPr>
      </w:pPr>
      <w:r>
        <w:rPr>
          <w:rFonts w:hint="eastAsia" w:ascii="宋体" w:hAnsi="宋体"/>
          <w:b/>
          <w:bCs/>
          <w:sz w:val="24"/>
          <w:szCs w:val="24"/>
        </w:rPr>
        <w:t>2.2补充扫描服务</w:t>
      </w:r>
    </w:p>
    <w:p w14:paraId="1157E89E">
      <w:pPr>
        <w:widowControl/>
        <w:spacing w:line="520" w:lineRule="exact"/>
        <w:ind w:firstLine="480"/>
        <w:jc w:val="left"/>
        <w:rPr>
          <w:rFonts w:ascii="宋体" w:hAnsi="宋体"/>
          <w:bCs/>
          <w:sz w:val="24"/>
          <w:szCs w:val="24"/>
        </w:rPr>
      </w:pPr>
      <w:r>
        <w:rPr>
          <w:rFonts w:hint="eastAsia" w:ascii="宋体" w:hAnsi="宋体"/>
          <w:bCs/>
          <w:sz w:val="24"/>
          <w:szCs w:val="24"/>
        </w:rPr>
        <w:t>（1）供应商收到补充材料时，根据材料移送时间，1日内完成电子化工作，电子化后的材料移送中间库。</w:t>
      </w:r>
    </w:p>
    <w:p w14:paraId="1E572D87">
      <w:pPr>
        <w:widowControl/>
        <w:spacing w:line="520" w:lineRule="exact"/>
        <w:ind w:firstLine="480"/>
        <w:jc w:val="left"/>
        <w:rPr>
          <w:rFonts w:ascii="宋体" w:hAnsi="宋体"/>
          <w:bCs/>
          <w:sz w:val="24"/>
          <w:szCs w:val="24"/>
        </w:rPr>
      </w:pPr>
      <w:r>
        <w:rPr>
          <w:rFonts w:hint="eastAsia" w:ascii="宋体" w:hAnsi="宋体"/>
          <w:bCs/>
          <w:sz w:val="24"/>
          <w:szCs w:val="24"/>
        </w:rPr>
        <w:t>（2）供应商应制定完整，高效的补充材料电子化标准作业流程和分类方案，提高随案扫描成效和提升无纸化阅卷成效。</w:t>
      </w:r>
    </w:p>
    <w:p w14:paraId="522E0FCE">
      <w:pPr>
        <w:widowControl/>
        <w:spacing w:line="520" w:lineRule="exact"/>
        <w:ind w:firstLine="482"/>
        <w:jc w:val="left"/>
        <w:rPr>
          <w:rFonts w:ascii="宋体" w:hAnsi="宋体"/>
          <w:b/>
          <w:bCs/>
          <w:sz w:val="24"/>
          <w:szCs w:val="24"/>
        </w:rPr>
      </w:pPr>
      <w:r>
        <w:rPr>
          <w:rFonts w:hint="eastAsia" w:ascii="宋体" w:hAnsi="宋体"/>
          <w:b/>
          <w:bCs/>
          <w:sz w:val="24"/>
          <w:szCs w:val="24"/>
        </w:rPr>
        <w:t>2.3卷宗管理服务</w:t>
      </w:r>
    </w:p>
    <w:p w14:paraId="7E8EC991">
      <w:pPr>
        <w:widowControl/>
        <w:spacing w:line="520" w:lineRule="exact"/>
        <w:ind w:firstLine="480"/>
        <w:jc w:val="left"/>
        <w:rPr>
          <w:rFonts w:ascii="宋体" w:hAnsi="宋体"/>
          <w:bCs/>
          <w:sz w:val="24"/>
          <w:szCs w:val="24"/>
        </w:rPr>
      </w:pPr>
      <w:r>
        <w:rPr>
          <w:rFonts w:hint="eastAsia" w:ascii="宋体" w:hAnsi="宋体"/>
          <w:bCs/>
          <w:sz w:val="24"/>
          <w:szCs w:val="24"/>
        </w:rPr>
        <w:t>（1）实体卷保管</w:t>
      </w:r>
    </w:p>
    <w:p w14:paraId="1E1FF557">
      <w:pPr>
        <w:widowControl/>
        <w:spacing w:line="520" w:lineRule="exact"/>
        <w:ind w:firstLine="480"/>
        <w:jc w:val="left"/>
        <w:rPr>
          <w:rFonts w:ascii="宋体" w:hAnsi="宋体"/>
          <w:bCs/>
          <w:sz w:val="24"/>
          <w:szCs w:val="24"/>
        </w:rPr>
      </w:pPr>
      <w:r>
        <w:rPr>
          <w:rFonts w:hint="eastAsia" w:ascii="宋体" w:hAnsi="宋体"/>
          <w:bCs/>
          <w:sz w:val="24"/>
          <w:szCs w:val="24"/>
        </w:rPr>
        <w:t>将已完成立案扫描的卷宗存入中间库；将已完成扫描的补充材料存入中间库；中间库卷宗管理；卷宗借阅与归还。</w:t>
      </w:r>
    </w:p>
    <w:p w14:paraId="3E043EC0">
      <w:pPr>
        <w:widowControl/>
        <w:spacing w:line="520" w:lineRule="exact"/>
        <w:ind w:firstLine="480"/>
        <w:jc w:val="left"/>
        <w:rPr>
          <w:rFonts w:ascii="宋体" w:hAnsi="宋体"/>
          <w:bCs/>
          <w:sz w:val="24"/>
          <w:szCs w:val="24"/>
        </w:rPr>
      </w:pPr>
      <w:r>
        <w:rPr>
          <w:rFonts w:hint="eastAsia" w:ascii="宋体" w:hAnsi="宋体"/>
          <w:bCs/>
          <w:sz w:val="24"/>
          <w:szCs w:val="24"/>
        </w:rPr>
        <w:t>（2）</w:t>
      </w:r>
      <w:r>
        <w:rPr>
          <w:rFonts w:ascii="宋体" w:hAnsi="宋体"/>
          <w:bCs/>
          <w:sz w:val="24"/>
          <w:szCs w:val="24"/>
        </w:rPr>
        <w:t>电子卷</w:t>
      </w:r>
      <w:r>
        <w:rPr>
          <w:rFonts w:hint="eastAsia" w:ascii="宋体" w:hAnsi="宋体"/>
          <w:bCs/>
          <w:sz w:val="24"/>
          <w:szCs w:val="24"/>
        </w:rPr>
        <w:t>质检</w:t>
      </w:r>
    </w:p>
    <w:p w14:paraId="489F22D0">
      <w:pPr>
        <w:widowControl/>
        <w:spacing w:line="520" w:lineRule="exact"/>
        <w:ind w:firstLine="480"/>
        <w:jc w:val="left"/>
        <w:rPr>
          <w:rFonts w:ascii="宋体" w:hAnsi="宋体"/>
          <w:bCs/>
          <w:sz w:val="24"/>
          <w:szCs w:val="24"/>
        </w:rPr>
      </w:pPr>
      <w:r>
        <w:rPr>
          <w:rFonts w:hint="eastAsia" w:ascii="宋体" w:hAnsi="宋体"/>
          <w:bCs/>
          <w:sz w:val="24"/>
          <w:szCs w:val="24"/>
        </w:rPr>
        <w:t>供应商须提供电子卷宗质检方案，包括外部质检（包含材料电子化环节、法院阅卷环节、一键归档环节）和内部质检（包含名称标注质检、阅卷目录质检、档案卷目录质检）两部分，确保电子卷宗完整，可信，提高法官阅卷体验感。</w:t>
      </w:r>
    </w:p>
    <w:p w14:paraId="380B7D1B">
      <w:pPr>
        <w:widowControl/>
        <w:spacing w:line="520" w:lineRule="exact"/>
        <w:ind w:firstLine="480"/>
        <w:jc w:val="left"/>
        <w:rPr>
          <w:rFonts w:ascii="宋体" w:hAnsi="宋体"/>
          <w:bCs/>
          <w:sz w:val="24"/>
          <w:szCs w:val="24"/>
        </w:rPr>
      </w:pPr>
      <w:r>
        <w:rPr>
          <w:rFonts w:hint="eastAsia" w:ascii="宋体" w:hAnsi="宋体"/>
          <w:bCs/>
          <w:sz w:val="24"/>
          <w:szCs w:val="24"/>
        </w:rPr>
        <w:t>（3）卷宗中间库管理系统设计</w:t>
      </w:r>
    </w:p>
    <w:p w14:paraId="630787E0">
      <w:pPr>
        <w:widowControl/>
        <w:spacing w:line="520" w:lineRule="exact"/>
        <w:ind w:firstLine="480"/>
        <w:jc w:val="left"/>
        <w:rPr>
          <w:rFonts w:ascii="宋体" w:hAnsi="宋体"/>
          <w:b/>
          <w:bCs/>
          <w:sz w:val="24"/>
          <w:szCs w:val="24"/>
        </w:rPr>
      </w:pPr>
      <w:r>
        <w:rPr>
          <w:rFonts w:hint="eastAsia" w:ascii="宋体" w:hAnsi="宋体"/>
          <w:bCs/>
          <w:sz w:val="24"/>
          <w:szCs w:val="24"/>
        </w:rPr>
        <w:t>供应商应提供卷宗中间库管理系统设计方案。</w:t>
      </w:r>
    </w:p>
    <w:p w14:paraId="5300160B">
      <w:pPr>
        <w:widowControl/>
        <w:spacing w:line="520" w:lineRule="exact"/>
        <w:ind w:firstLine="482"/>
        <w:jc w:val="left"/>
        <w:rPr>
          <w:rFonts w:ascii="宋体" w:hAnsi="宋体"/>
          <w:b/>
          <w:bCs/>
          <w:sz w:val="24"/>
          <w:szCs w:val="24"/>
        </w:rPr>
      </w:pPr>
      <w:r>
        <w:rPr>
          <w:rFonts w:hint="eastAsia" w:ascii="宋体" w:hAnsi="宋体"/>
          <w:b/>
          <w:bCs/>
          <w:sz w:val="24"/>
          <w:szCs w:val="24"/>
        </w:rPr>
        <w:t>2.4归档服务</w:t>
      </w:r>
    </w:p>
    <w:p w14:paraId="0BAAA0A6">
      <w:pPr>
        <w:widowControl/>
        <w:spacing w:line="520" w:lineRule="exact"/>
        <w:ind w:firstLine="480"/>
        <w:jc w:val="left"/>
        <w:rPr>
          <w:rFonts w:ascii="宋体" w:hAnsi="宋体"/>
          <w:bCs/>
          <w:sz w:val="24"/>
          <w:szCs w:val="24"/>
        </w:rPr>
      </w:pPr>
      <w:r>
        <w:rPr>
          <w:rFonts w:hint="eastAsia" w:ascii="宋体" w:hAnsi="宋体"/>
          <w:bCs/>
          <w:sz w:val="24"/>
          <w:szCs w:val="24"/>
        </w:rPr>
        <w:t>（1）一键归档服务流程方案</w:t>
      </w:r>
    </w:p>
    <w:p w14:paraId="4EBF09B2">
      <w:pPr>
        <w:widowControl/>
        <w:spacing w:line="520" w:lineRule="exact"/>
        <w:ind w:firstLine="480"/>
        <w:jc w:val="left"/>
        <w:rPr>
          <w:rFonts w:ascii="宋体" w:hAnsi="宋体"/>
          <w:bCs/>
          <w:sz w:val="24"/>
          <w:szCs w:val="24"/>
        </w:rPr>
      </w:pPr>
      <w:r>
        <w:rPr>
          <w:rFonts w:hint="eastAsia" w:ascii="宋体" w:hAnsi="宋体"/>
          <w:bCs/>
          <w:sz w:val="24"/>
          <w:szCs w:val="24"/>
        </w:rPr>
        <w:t>案件结案后，书记员需通过供应商提供的相关配套事项管理系统（留痕管理）发起归档整理事务。成交供应商对提交归档整理的案件，根据法院的归档要求，在规定工作日内完成电子档案整理，纸质档案整理、集中打印（含文书）、页码制作、归档质检、电子推送，纸质档案移送、上架等全部归档工作。成交供应商须提供适合采购人的一键归档服务方案。</w:t>
      </w:r>
    </w:p>
    <w:p w14:paraId="77D6A967">
      <w:pPr>
        <w:widowControl/>
        <w:spacing w:line="520" w:lineRule="exact"/>
        <w:ind w:firstLine="480"/>
        <w:jc w:val="left"/>
        <w:rPr>
          <w:rFonts w:ascii="宋体" w:hAnsi="宋体"/>
          <w:bCs/>
          <w:sz w:val="24"/>
          <w:szCs w:val="24"/>
        </w:rPr>
      </w:pPr>
      <w:r>
        <w:rPr>
          <w:rFonts w:hint="eastAsia" w:ascii="宋体" w:hAnsi="宋体"/>
          <w:bCs/>
          <w:sz w:val="24"/>
          <w:szCs w:val="24"/>
        </w:rPr>
        <w:t>结案后当法官或书记员只需在线提交无纸化归档流程，归档岗服务人员接到归档任务后首先做电子转档，转档完后会将转档结果回传给归档流程提交者进行审核。（提供一键转档审核操作步骤相关截图）</w:t>
      </w:r>
    </w:p>
    <w:p w14:paraId="4D4887E7">
      <w:pPr>
        <w:widowControl/>
        <w:spacing w:line="520" w:lineRule="exact"/>
        <w:ind w:firstLine="480"/>
        <w:jc w:val="left"/>
        <w:rPr>
          <w:rFonts w:ascii="宋体" w:hAnsi="宋体"/>
          <w:bCs/>
          <w:sz w:val="24"/>
          <w:szCs w:val="24"/>
        </w:rPr>
      </w:pPr>
      <w:r>
        <w:rPr>
          <w:rFonts w:hint="eastAsia" w:ascii="宋体" w:hAnsi="宋体"/>
          <w:bCs/>
          <w:sz w:val="24"/>
          <w:szCs w:val="24"/>
        </w:rPr>
        <w:t>（2）归档业务优化与效率提升方案</w:t>
      </w:r>
    </w:p>
    <w:p w14:paraId="28FF44FF">
      <w:pPr>
        <w:widowControl/>
        <w:spacing w:line="520" w:lineRule="exact"/>
        <w:ind w:firstLine="480"/>
        <w:jc w:val="left"/>
        <w:rPr>
          <w:rFonts w:ascii="宋体" w:hAnsi="宋体"/>
          <w:bCs/>
          <w:sz w:val="24"/>
          <w:szCs w:val="24"/>
        </w:rPr>
      </w:pPr>
      <w:r>
        <w:rPr>
          <w:rFonts w:hint="eastAsia" w:ascii="宋体" w:hAnsi="宋体"/>
          <w:bCs/>
          <w:sz w:val="24"/>
          <w:szCs w:val="24"/>
        </w:rPr>
        <w:t>为确保电子卷宗转换效率和成功率，投标时应提供一套提高一键转档效率优化方案。</w:t>
      </w:r>
    </w:p>
    <w:p w14:paraId="542E2FBE">
      <w:pPr>
        <w:widowControl/>
        <w:spacing w:line="520" w:lineRule="exact"/>
        <w:ind w:firstLine="480"/>
        <w:jc w:val="left"/>
        <w:rPr>
          <w:rFonts w:ascii="宋体" w:hAnsi="宋体"/>
          <w:bCs/>
          <w:sz w:val="24"/>
          <w:szCs w:val="24"/>
        </w:rPr>
      </w:pPr>
      <w:r>
        <w:rPr>
          <w:rFonts w:hint="eastAsia" w:ascii="宋体" w:hAnsi="宋体"/>
          <w:bCs/>
          <w:sz w:val="24"/>
          <w:szCs w:val="24"/>
        </w:rPr>
        <w:t>（3）纸质档案加工</w:t>
      </w:r>
    </w:p>
    <w:p w14:paraId="5D66A8B1">
      <w:pPr>
        <w:widowControl/>
        <w:spacing w:line="520" w:lineRule="exact"/>
        <w:ind w:firstLine="480"/>
        <w:jc w:val="left"/>
        <w:rPr>
          <w:rFonts w:ascii="宋体" w:hAnsi="宋体"/>
          <w:bCs/>
          <w:sz w:val="24"/>
          <w:szCs w:val="24"/>
        </w:rPr>
      </w:pPr>
      <w:r>
        <w:rPr>
          <w:rFonts w:hint="eastAsia" w:ascii="宋体" w:hAnsi="宋体"/>
          <w:bCs/>
          <w:sz w:val="24"/>
          <w:szCs w:val="24"/>
        </w:rPr>
        <w:t>供应商提供纸质档案加工方案，包括</w:t>
      </w:r>
      <w:r>
        <w:rPr>
          <w:rFonts w:ascii="宋体" w:hAnsi="宋体"/>
          <w:bCs/>
          <w:sz w:val="24"/>
          <w:szCs w:val="24"/>
        </w:rPr>
        <w:t>提供</w:t>
      </w:r>
      <w:r>
        <w:rPr>
          <w:rFonts w:hint="eastAsia" w:ascii="宋体" w:hAnsi="宋体"/>
          <w:bCs/>
          <w:sz w:val="24"/>
          <w:szCs w:val="24"/>
        </w:rPr>
        <w:t>档案整理、打印页码、归档扫描、修图质检、数据挂接</w:t>
      </w:r>
      <w:r>
        <w:rPr>
          <w:rFonts w:ascii="宋体" w:hAnsi="宋体"/>
          <w:bCs/>
          <w:sz w:val="24"/>
          <w:szCs w:val="24"/>
        </w:rPr>
        <w:t>等服务</w:t>
      </w:r>
      <w:r>
        <w:rPr>
          <w:rFonts w:hint="eastAsia" w:ascii="宋体" w:hAnsi="宋体"/>
          <w:bCs/>
          <w:sz w:val="24"/>
          <w:szCs w:val="24"/>
        </w:rPr>
        <w:t>，并随服务自带电子档案数字化加工与检索系统和电子档案影像卷挂接管理系统。</w:t>
      </w:r>
    </w:p>
    <w:p w14:paraId="30395194">
      <w:pPr>
        <w:widowControl/>
        <w:spacing w:line="520" w:lineRule="exact"/>
        <w:ind w:firstLine="482"/>
        <w:jc w:val="left"/>
        <w:rPr>
          <w:rFonts w:ascii="宋体" w:hAnsi="宋体"/>
          <w:b/>
          <w:bCs/>
          <w:sz w:val="24"/>
          <w:szCs w:val="24"/>
        </w:rPr>
      </w:pPr>
      <w:r>
        <w:rPr>
          <w:rFonts w:hint="eastAsia" w:ascii="宋体" w:hAnsi="宋体"/>
          <w:b/>
          <w:bCs/>
          <w:sz w:val="24"/>
          <w:szCs w:val="24"/>
        </w:rPr>
        <w:t>3、无纸化办案基础性配套服务</w:t>
      </w:r>
    </w:p>
    <w:p w14:paraId="7528EC1C">
      <w:pPr>
        <w:widowControl/>
        <w:spacing w:line="520" w:lineRule="exact"/>
        <w:ind w:firstLine="482"/>
        <w:jc w:val="left"/>
        <w:rPr>
          <w:rFonts w:ascii="宋体" w:hAnsi="宋体"/>
          <w:b/>
          <w:bCs/>
          <w:sz w:val="24"/>
          <w:szCs w:val="24"/>
        </w:rPr>
      </w:pPr>
      <w:r>
        <w:rPr>
          <w:rFonts w:hint="eastAsia" w:ascii="宋体" w:hAnsi="宋体"/>
          <w:b/>
          <w:bCs/>
          <w:sz w:val="24"/>
          <w:szCs w:val="24"/>
        </w:rPr>
        <w:t>3.1档案加工配套软件功能要求</w:t>
      </w:r>
    </w:p>
    <w:p w14:paraId="4CC23BDA">
      <w:pPr>
        <w:widowControl/>
        <w:spacing w:line="520" w:lineRule="exact"/>
        <w:ind w:firstLine="480"/>
        <w:jc w:val="left"/>
        <w:rPr>
          <w:rFonts w:ascii="宋体" w:hAnsi="宋体"/>
          <w:bCs/>
          <w:sz w:val="24"/>
          <w:szCs w:val="24"/>
        </w:rPr>
      </w:pPr>
      <w:r>
        <w:rPr>
          <w:rFonts w:ascii="宋体" w:hAnsi="宋体"/>
          <w:bCs/>
          <w:sz w:val="24"/>
          <w:szCs w:val="24"/>
        </w:rPr>
        <w:t>（</w:t>
      </w:r>
      <w:r>
        <w:rPr>
          <w:rFonts w:hint="eastAsia" w:ascii="宋体" w:hAnsi="宋体"/>
          <w:bCs/>
          <w:sz w:val="24"/>
          <w:szCs w:val="24"/>
        </w:rPr>
        <w:t>1</w:t>
      </w:r>
      <w:r>
        <w:rPr>
          <w:rFonts w:ascii="宋体" w:hAnsi="宋体"/>
          <w:bCs/>
          <w:sz w:val="24"/>
          <w:szCs w:val="24"/>
        </w:rPr>
        <w:t>）供应商随服务自带</w:t>
      </w:r>
      <w:r>
        <w:rPr>
          <w:rFonts w:hint="eastAsia" w:ascii="宋体" w:hAnsi="宋体"/>
          <w:bCs/>
          <w:sz w:val="24"/>
          <w:szCs w:val="24"/>
        </w:rPr>
        <w:t>数字化</w:t>
      </w:r>
      <w:r>
        <w:rPr>
          <w:rFonts w:ascii="宋体" w:hAnsi="宋体"/>
          <w:bCs/>
          <w:sz w:val="24"/>
          <w:szCs w:val="24"/>
        </w:rPr>
        <w:t>加工工具软件，供应商负责加工软件与</w:t>
      </w:r>
      <w:r>
        <w:rPr>
          <w:rFonts w:hint="eastAsia" w:ascii="宋体" w:hAnsi="宋体"/>
          <w:bCs/>
          <w:sz w:val="24"/>
          <w:szCs w:val="24"/>
        </w:rPr>
        <w:t>法院</w:t>
      </w:r>
      <w:r>
        <w:rPr>
          <w:rFonts w:ascii="宋体" w:hAnsi="宋体"/>
          <w:bCs/>
          <w:sz w:val="24"/>
          <w:szCs w:val="24"/>
        </w:rPr>
        <w:t>内网使用的审判、执行、卷宗、档案等系统对接，采购方不</w:t>
      </w:r>
      <w:r>
        <w:rPr>
          <w:rFonts w:hint="eastAsia" w:ascii="宋体" w:hAnsi="宋体"/>
          <w:bCs/>
          <w:sz w:val="24"/>
          <w:szCs w:val="24"/>
        </w:rPr>
        <w:t>支付</w:t>
      </w:r>
      <w:r>
        <w:rPr>
          <w:rFonts w:ascii="宋体" w:hAnsi="宋体"/>
          <w:bCs/>
          <w:sz w:val="24"/>
          <w:szCs w:val="24"/>
        </w:rPr>
        <w:t>系统对接和软件使用费，也不为软件知识产权可能产生的纠纷负责。</w:t>
      </w:r>
    </w:p>
    <w:p w14:paraId="214759E2">
      <w:pPr>
        <w:widowControl/>
        <w:spacing w:line="520" w:lineRule="exact"/>
        <w:ind w:firstLine="480"/>
        <w:jc w:val="left"/>
        <w:rPr>
          <w:rFonts w:ascii="宋体" w:hAnsi="宋体"/>
          <w:bCs/>
          <w:sz w:val="24"/>
          <w:szCs w:val="24"/>
        </w:rPr>
      </w:pPr>
      <w:r>
        <w:rPr>
          <w:rFonts w:hint="eastAsia" w:ascii="宋体" w:hAnsi="宋体"/>
          <w:bCs/>
          <w:sz w:val="24"/>
          <w:szCs w:val="24"/>
        </w:rPr>
        <w:t>（2）供应商提供卷宗数字化加工相关软件需要提供①图像去污②剪裁裁边③图像旋转④图像纠偏⑤分辨率设置⑥格式路径设置⑦图像加深减淡⑧拼接打码⑨文字加深变浅锐化⑩图像合并转换等功能。</w:t>
      </w:r>
    </w:p>
    <w:p w14:paraId="5220F529">
      <w:pPr>
        <w:widowControl/>
        <w:spacing w:line="520" w:lineRule="exact"/>
        <w:ind w:firstLine="480"/>
        <w:jc w:val="left"/>
        <w:rPr>
          <w:rFonts w:ascii="宋体" w:hAnsi="宋体"/>
          <w:bCs/>
          <w:sz w:val="24"/>
          <w:szCs w:val="24"/>
        </w:rPr>
      </w:pPr>
      <w:r>
        <w:rPr>
          <w:rFonts w:hint="eastAsia" w:ascii="宋体" w:hAnsi="宋体"/>
          <w:bCs/>
          <w:sz w:val="24"/>
          <w:szCs w:val="24"/>
        </w:rPr>
        <w:t>（3）卷宗加工配套软件需支持模板配置，提供打印封面，目录，备考表，档案盒等功能；需支持对接审判和档案等系统自动获取案件结构化数据功能，减少手工录入工作量以及手工录入准确性的问题；需支持卷宗归档后加册功能，规范归档加册流程；需支持分卷册自动生成并打印条形码，解决档案分册条形码打印问题；需要支持</w:t>
      </w:r>
      <w:r>
        <w:rPr>
          <w:rFonts w:ascii="宋体" w:hAnsi="宋体"/>
          <w:bCs/>
          <w:sz w:val="24"/>
          <w:szCs w:val="24"/>
        </w:rPr>
        <w:t>自动生成卷册信息，</w:t>
      </w:r>
      <w:r>
        <w:rPr>
          <w:rFonts w:hint="eastAsia" w:ascii="宋体" w:hAnsi="宋体"/>
          <w:bCs/>
          <w:sz w:val="24"/>
          <w:szCs w:val="24"/>
        </w:rPr>
        <w:t>无需手工引入。</w:t>
      </w:r>
    </w:p>
    <w:p w14:paraId="10BFC167">
      <w:pPr>
        <w:widowControl/>
        <w:spacing w:line="520" w:lineRule="exact"/>
        <w:ind w:firstLine="482"/>
        <w:jc w:val="left"/>
        <w:rPr>
          <w:rFonts w:ascii="宋体" w:hAnsi="宋体"/>
          <w:b/>
          <w:bCs/>
          <w:sz w:val="24"/>
          <w:szCs w:val="24"/>
        </w:rPr>
      </w:pPr>
      <w:r>
        <w:rPr>
          <w:rFonts w:hint="eastAsia" w:ascii="宋体" w:hAnsi="宋体"/>
          <w:b/>
          <w:bCs/>
          <w:sz w:val="24"/>
          <w:szCs w:val="24"/>
        </w:rPr>
        <w:t>3.2提供司法辅助事务集约化管理系统</w:t>
      </w:r>
    </w:p>
    <w:p w14:paraId="163A3573">
      <w:pPr>
        <w:widowControl/>
        <w:spacing w:line="520" w:lineRule="exact"/>
        <w:ind w:firstLine="480"/>
        <w:jc w:val="left"/>
        <w:rPr>
          <w:rFonts w:ascii="宋体" w:hAnsi="宋体"/>
          <w:bCs/>
          <w:sz w:val="24"/>
          <w:szCs w:val="24"/>
        </w:rPr>
      </w:pPr>
      <w:r>
        <w:rPr>
          <w:rFonts w:hint="eastAsia" w:ascii="宋体" w:hAnsi="宋体"/>
          <w:bCs/>
          <w:sz w:val="24"/>
          <w:szCs w:val="24"/>
        </w:rPr>
        <w:t>司法辅助事务集约化管理系统整合实现了司法资源整合，优化管理，将归档等司法辅助事项剥离出来，实现了法官专注的“审”和“判”核心事务，改革过去的审判辅助事务分散处理的工作模式，将法官助理的部分非核审判事务和书记员的事务剥离出来，交由司法辅助集约化服务平台统一集中办理。让法官将更多地精力投入到审判案件，有效缩短了办案周期，实现司法辅助事务集约化、专业化管理，法官事务性工作大大减少，提高效率和质量。将辅助事务通过司法辅助集约化管理系统统一进行流转管理，事项的交办和办理全程流程。将传统的“法官+法官助理+书记员”的团队审判模式，改变为由“多个法官+法官助理”共享一个辅助事务服务团队的审判模式。</w:t>
      </w:r>
    </w:p>
    <w:p w14:paraId="0B5D6192">
      <w:pPr>
        <w:widowControl/>
        <w:spacing w:line="520" w:lineRule="exact"/>
        <w:ind w:firstLine="480"/>
        <w:jc w:val="left"/>
        <w:rPr>
          <w:rFonts w:ascii="宋体" w:hAnsi="宋体"/>
          <w:bCs/>
          <w:sz w:val="24"/>
          <w:szCs w:val="24"/>
        </w:rPr>
      </w:pPr>
      <w:r>
        <w:rPr>
          <w:rFonts w:hint="eastAsia" w:ascii="宋体" w:hAnsi="宋体"/>
          <w:bCs/>
          <w:sz w:val="24"/>
          <w:szCs w:val="24"/>
        </w:rPr>
        <w:t>提供解决方案并提供事务发起（包括补充扫描、无纸化归档），事务分派、事务管理、事务监督等功能截图。</w:t>
      </w:r>
      <w:r>
        <w:rPr>
          <w:rFonts w:ascii="宋体" w:hAnsi="宋体"/>
          <w:bCs/>
          <w:sz w:val="24"/>
          <w:szCs w:val="24"/>
        </w:rPr>
        <w:t>（供应商需提供相关</w:t>
      </w:r>
      <w:r>
        <w:rPr>
          <w:rFonts w:hint="eastAsia" w:ascii="宋体" w:hAnsi="宋体"/>
          <w:bCs/>
          <w:sz w:val="24"/>
          <w:szCs w:val="24"/>
        </w:rPr>
        <w:t>功能</w:t>
      </w:r>
      <w:r>
        <w:rPr>
          <w:rFonts w:ascii="宋体" w:hAnsi="宋体"/>
          <w:bCs/>
          <w:sz w:val="24"/>
          <w:szCs w:val="24"/>
        </w:rPr>
        <w:t>页面截图）</w:t>
      </w:r>
    </w:p>
    <w:p w14:paraId="35F94A34">
      <w:pPr>
        <w:widowControl/>
        <w:spacing w:line="520" w:lineRule="exact"/>
        <w:ind w:firstLine="482"/>
        <w:jc w:val="left"/>
        <w:rPr>
          <w:rFonts w:ascii="宋体" w:hAnsi="宋体"/>
          <w:b/>
          <w:bCs/>
          <w:sz w:val="24"/>
          <w:szCs w:val="24"/>
        </w:rPr>
      </w:pPr>
      <w:r>
        <w:rPr>
          <w:rFonts w:hint="eastAsia" w:ascii="宋体" w:hAnsi="宋体"/>
          <w:b/>
          <w:bCs/>
          <w:sz w:val="24"/>
          <w:szCs w:val="24"/>
        </w:rPr>
        <w:t>3.3</w:t>
      </w:r>
      <w:r>
        <w:rPr>
          <w:rFonts w:ascii="宋体" w:hAnsi="宋体"/>
          <w:b/>
          <w:bCs/>
          <w:sz w:val="24"/>
          <w:szCs w:val="24"/>
        </w:rPr>
        <w:t>提供电子卷宗随案同步生成数据大屏展示服务</w:t>
      </w:r>
    </w:p>
    <w:p w14:paraId="0B174106">
      <w:pPr>
        <w:widowControl/>
        <w:spacing w:line="520" w:lineRule="exact"/>
        <w:ind w:firstLine="480"/>
        <w:jc w:val="left"/>
        <w:rPr>
          <w:rFonts w:ascii="宋体" w:hAnsi="宋体"/>
          <w:bCs/>
          <w:sz w:val="24"/>
          <w:szCs w:val="24"/>
        </w:rPr>
      </w:pPr>
      <w:r>
        <w:rPr>
          <w:rFonts w:ascii="宋体" w:hAnsi="宋体"/>
          <w:bCs/>
          <w:sz w:val="24"/>
          <w:szCs w:val="24"/>
        </w:rPr>
        <w:t>供应商应提供包含电子卷宗随案同步生成各环节数据的数据展示服务，展示内容包括但不限于收案数、中间库存案数、结案数、归档数、扫描页数、编目页数的当日及历史统计数据。（供应商需提供相关数据可视化展示页面截图）</w:t>
      </w:r>
    </w:p>
    <w:p w14:paraId="0F1B4718">
      <w:pPr>
        <w:widowControl/>
        <w:spacing w:line="520" w:lineRule="exact"/>
        <w:ind w:firstLine="482"/>
        <w:jc w:val="left"/>
        <w:rPr>
          <w:rFonts w:ascii="宋体" w:hAnsi="宋体"/>
          <w:b/>
          <w:bCs/>
          <w:sz w:val="24"/>
          <w:szCs w:val="24"/>
        </w:rPr>
      </w:pPr>
      <w:r>
        <w:rPr>
          <w:rFonts w:hint="eastAsia" w:ascii="宋体" w:hAnsi="宋体"/>
          <w:b/>
          <w:bCs/>
          <w:sz w:val="24"/>
          <w:szCs w:val="24"/>
        </w:rPr>
        <w:t>（三）服务标准及服务质量需求</w:t>
      </w:r>
    </w:p>
    <w:p w14:paraId="35007C8D">
      <w:pPr>
        <w:widowControl/>
        <w:spacing w:line="520" w:lineRule="exact"/>
        <w:ind w:firstLine="480"/>
        <w:jc w:val="left"/>
        <w:rPr>
          <w:rFonts w:ascii="宋体" w:hAnsi="宋体"/>
          <w:bCs/>
          <w:sz w:val="24"/>
          <w:szCs w:val="24"/>
        </w:rPr>
      </w:pPr>
      <w:r>
        <w:rPr>
          <w:rFonts w:hint="eastAsia" w:ascii="宋体" w:hAnsi="宋体"/>
          <w:bCs/>
          <w:sz w:val="24"/>
          <w:szCs w:val="24"/>
        </w:rPr>
        <w:t>建立健全泗阳县人民法院无纸化办案全流程服务质量和标准，主要内容包括：全流程无纸化服务标准，服务质量保障、全流程服务绩效考核体系以及数据监管方案。</w:t>
      </w:r>
    </w:p>
    <w:p w14:paraId="5CE844CC">
      <w:pPr>
        <w:widowControl/>
        <w:spacing w:line="520" w:lineRule="exact"/>
        <w:ind w:firstLine="482"/>
        <w:jc w:val="left"/>
        <w:rPr>
          <w:rFonts w:ascii="宋体" w:hAnsi="宋体"/>
          <w:b/>
          <w:bCs/>
          <w:sz w:val="24"/>
          <w:szCs w:val="24"/>
        </w:rPr>
      </w:pPr>
      <w:r>
        <w:rPr>
          <w:rFonts w:hint="eastAsia" w:ascii="宋体" w:hAnsi="宋体"/>
          <w:b/>
          <w:bCs/>
          <w:sz w:val="24"/>
          <w:szCs w:val="24"/>
        </w:rPr>
        <w:t>1、服务标准</w:t>
      </w:r>
    </w:p>
    <w:p w14:paraId="7167341C">
      <w:pPr>
        <w:widowControl/>
        <w:spacing w:line="520" w:lineRule="exact"/>
        <w:ind w:firstLine="480"/>
        <w:jc w:val="left"/>
        <w:rPr>
          <w:rFonts w:ascii="宋体" w:hAnsi="宋体"/>
          <w:bCs/>
          <w:sz w:val="24"/>
          <w:szCs w:val="24"/>
        </w:rPr>
      </w:pPr>
      <w:r>
        <w:rPr>
          <w:rFonts w:hint="eastAsia" w:ascii="宋体" w:hAnsi="宋体"/>
          <w:bCs/>
          <w:sz w:val="24"/>
          <w:szCs w:val="24"/>
        </w:rPr>
        <w:t>（1）成交供应商须提供无纸化办案全流程服务作业标准。</w:t>
      </w:r>
    </w:p>
    <w:p w14:paraId="29A00E46">
      <w:pPr>
        <w:widowControl/>
        <w:spacing w:line="520" w:lineRule="exact"/>
        <w:ind w:firstLine="480"/>
        <w:jc w:val="left"/>
        <w:rPr>
          <w:rFonts w:ascii="宋体" w:hAnsi="宋体"/>
          <w:bCs/>
          <w:sz w:val="24"/>
          <w:szCs w:val="24"/>
        </w:rPr>
      </w:pPr>
      <w:r>
        <w:rPr>
          <w:rFonts w:hint="eastAsia" w:ascii="宋体" w:hAnsi="宋体"/>
          <w:bCs/>
          <w:sz w:val="24"/>
          <w:szCs w:val="24"/>
        </w:rPr>
        <w:t>（2）成交供应商须提供电子卷宗随案同步生成标准。</w:t>
      </w:r>
    </w:p>
    <w:p w14:paraId="0BD98F39">
      <w:pPr>
        <w:widowControl/>
        <w:spacing w:line="520" w:lineRule="exact"/>
        <w:ind w:firstLine="480"/>
        <w:jc w:val="left"/>
        <w:rPr>
          <w:rFonts w:ascii="宋体" w:hAnsi="宋体"/>
          <w:bCs/>
          <w:sz w:val="24"/>
          <w:szCs w:val="24"/>
        </w:rPr>
      </w:pPr>
      <w:r>
        <w:rPr>
          <w:rFonts w:hint="eastAsia" w:ascii="宋体" w:hAnsi="宋体"/>
          <w:bCs/>
          <w:sz w:val="24"/>
          <w:szCs w:val="24"/>
        </w:rPr>
        <w:t>（3）成交供应商须提供材料电子化标准</w:t>
      </w:r>
    </w:p>
    <w:p w14:paraId="10489CA3">
      <w:pPr>
        <w:widowControl/>
        <w:spacing w:line="520" w:lineRule="exact"/>
        <w:ind w:firstLine="480"/>
        <w:jc w:val="left"/>
        <w:rPr>
          <w:rFonts w:ascii="宋体" w:hAnsi="宋体"/>
          <w:bCs/>
          <w:sz w:val="24"/>
          <w:szCs w:val="24"/>
        </w:rPr>
      </w:pPr>
      <w:r>
        <w:rPr>
          <w:rFonts w:hint="eastAsia" w:ascii="宋体" w:hAnsi="宋体"/>
          <w:bCs/>
          <w:sz w:val="24"/>
          <w:szCs w:val="24"/>
        </w:rPr>
        <w:t>（4）成交供应商须提供案件纸质卷宗排序标准。</w:t>
      </w:r>
    </w:p>
    <w:p w14:paraId="2AAB658B">
      <w:pPr>
        <w:widowControl/>
        <w:spacing w:line="520" w:lineRule="exact"/>
        <w:ind w:firstLine="482"/>
        <w:jc w:val="left"/>
        <w:rPr>
          <w:rFonts w:ascii="宋体" w:hAnsi="宋体"/>
          <w:b/>
          <w:bCs/>
          <w:sz w:val="24"/>
          <w:szCs w:val="24"/>
        </w:rPr>
      </w:pPr>
      <w:r>
        <w:rPr>
          <w:rFonts w:hint="eastAsia" w:ascii="宋体" w:hAnsi="宋体"/>
          <w:b/>
          <w:bCs/>
          <w:sz w:val="24"/>
          <w:szCs w:val="24"/>
        </w:rPr>
        <w:t>2、服务质量</w:t>
      </w:r>
    </w:p>
    <w:p w14:paraId="3A0967FD">
      <w:pPr>
        <w:widowControl/>
        <w:spacing w:line="520" w:lineRule="exact"/>
        <w:ind w:firstLine="480"/>
        <w:jc w:val="left"/>
        <w:rPr>
          <w:rFonts w:ascii="宋体" w:hAnsi="宋体"/>
          <w:bCs/>
          <w:sz w:val="24"/>
          <w:szCs w:val="24"/>
        </w:rPr>
      </w:pPr>
      <w:r>
        <w:rPr>
          <w:rFonts w:hint="eastAsia" w:ascii="宋体" w:hAnsi="宋体"/>
          <w:bCs/>
          <w:sz w:val="24"/>
          <w:szCs w:val="24"/>
        </w:rPr>
        <w:t>成交供应商须提供为满足本次项目全流程服务可量化绩效考核体系方案。为充分激发员工积极性，绩效考核体系须包括客观指标和主观指标，并提供相对应的数据监管方案。</w:t>
      </w:r>
    </w:p>
    <w:p w14:paraId="60DC40E0">
      <w:pPr>
        <w:widowControl/>
        <w:spacing w:line="520" w:lineRule="exact"/>
        <w:ind w:firstLine="480"/>
        <w:jc w:val="left"/>
        <w:rPr>
          <w:rFonts w:ascii="宋体" w:hAnsi="宋体"/>
          <w:bCs/>
          <w:sz w:val="24"/>
          <w:szCs w:val="24"/>
        </w:rPr>
      </w:pPr>
      <w:r>
        <w:rPr>
          <w:rFonts w:hint="eastAsia" w:ascii="宋体" w:hAnsi="宋体"/>
          <w:bCs/>
          <w:sz w:val="24"/>
          <w:szCs w:val="24"/>
        </w:rPr>
        <w:t>（1）成交供应商须提供全流程服务绩效考核体系。</w:t>
      </w:r>
    </w:p>
    <w:p w14:paraId="4F61768C">
      <w:pPr>
        <w:widowControl/>
        <w:spacing w:line="520" w:lineRule="exact"/>
        <w:ind w:firstLine="480"/>
        <w:jc w:val="left"/>
        <w:rPr>
          <w:rFonts w:ascii="宋体" w:hAnsi="宋体"/>
          <w:bCs/>
          <w:sz w:val="24"/>
          <w:szCs w:val="24"/>
        </w:rPr>
      </w:pPr>
      <w:r>
        <w:rPr>
          <w:rFonts w:hint="eastAsia" w:ascii="宋体" w:hAnsi="宋体"/>
          <w:bCs/>
          <w:sz w:val="24"/>
          <w:szCs w:val="24"/>
        </w:rPr>
        <w:t>（2）成交供应商须提供绩效管理办法。</w:t>
      </w:r>
    </w:p>
    <w:p w14:paraId="0029E581">
      <w:pPr>
        <w:widowControl/>
        <w:spacing w:line="520" w:lineRule="exact"/>
        <w:ind w:firstLine="480"/>
        <w:jc w:val="left"/>
        <w:rPr>
          <w:rFonts w:ascii="宋体" w:hAnsi="宋体"/>
          <w:bCs/>
          <w:sz w:val="24"/>
          <w:szCs w:val="24"/>
        </w:rPr>
      </w:pPr>
      <w:r>
        <w:rPr>
          <w:rFonts w:hint="eastAsia" w:ascii="宋体" w:hAnsi="宋体"/>
          <w:bCs/>
          <w:sz w:val="24"/>
          <w:szCs w:val="24"/>
        </w:rPr>
        <w:t>（3）成交供应商须提供</w:t>
      </w:r>
      <w:r>
        <w:rPr>
          <w:rFonts w:ascii="宋体" w:hAnsi="宋体"/>
          <w:bCs/>
          <w:sz w:val="24"/>
          <w:szCs w:val="24"/>
        </w:rPr>
        <w:t>全流程服务数据监管方案</w:t>
      </w:r>
      <w:r>
        <w:rPr>
          <w:rFonts w:hint="eastAsia" w:ascii="宋体" w:hAnsi="宋体"/>
          <w:bCs/>
          <w:sz w:val="24"/>
          <w:szCs w:val="24"/>
        </w:rPr>
        <w:t>。</w:t>
      </w:r>
    </w:p>
    <w:p w14:paraId="6FD4B134">
      <w:pPr>
        <w:widowControl/>
        <w:spacing w:line="520" w:lineRule="exact"/>
        <w:ind w:firstLine="482"/>
        <w:jc w:val="left"/>
        <w:rPr>
          <w:rFonts w:ascii="宋体" w:hAnsi="宋体"/>
          <w:b/>
          <w:bCs/>
          <w:sz w:val="24"/>
          <w:szCs w:val="24"/>
        </w:rPr>
      </w:pPr>
      <w:r>
        <w:rPr>
          <w:rFonts w:hint="eastAsia" w:ascii="宋体" w:hAnsi="宋体"/>
          <w:b/>
          <w:bCs/>
          <w:sz w:val="24"/>
          <w:szCs w:val="24"/>
        </w:rPr>
        <w:t>（四）项目组织</w:t>
      </w:r>
    </w:p>
    <w:p w14:paraId="70BD96EC">
      <w:pPr>
        <w:widowControl/>
        <w:spacing w:line="520" w:lineRule="exact"/>
        <w:ind w:firstLine="480"/>
        <w:jc w:val="left"/>
        <w:rPr>
          <w:rFonts w:ascii="宋体" w:hAnsi="宋体"/>
          <w:bCs/>
          <w:sz w:val="24"/>
          <w:szCs w:val="24"/>
        </w:rPr>
      </w:pPr>
      <w:r>
        <w:rPr>
          <w:rFonts w:hint="eastAsia" w:ascii="宋体" w:hAnsi="宋体"/>
          <w:bCs/>
          <w:sz w:val="24"/>
          <w:szCs w:val="24"/>
        </w:rPr>
        <w:t>为顺利完成项目的需求分析、流程设计和部署实施等工作，必须加强项目的组织和管理。成交供应商必须组织稳定的、经验丰富的项目团队来完成项目的设计和实施工作。要求成交供应商要制订本项目的项目实施的人力安排和组织保证。</w:t>
      </w:r>
    </w:p>
    <w:p w14:paraId="4918A519">
      <w:pPr>
        <w:widowControl/>
        <w:spacing w:line="520" w:lineRule="exact"/>
        <w:ind w:firstLine="480"/>
        <w:jc w:val="left"/>
        <w:rPr>
          <w:rFonts w:ascii="宋体" w:hAnsi="宋体"/>
          <w:bCs/>
          <w:sz w:val="24"/>
          <w:szCs w:val="24"/>
        </w:rPr>
      </w:pPr>
      <w:r>
        <w:rPr>
          <w:rFonts w:hint="eastAsia" w:ascii="宋体" w:hAnsi="宋体"/>
          <w:bCs/>
          <w:sz w:val="24"/>
          <w:szCs w:val="24"/>
        </w:rPr>
        <w:t>1、项目组成员不少于12人,包括项目经理岗、导诉岗、立案登记岗材料收转岗、立案材料电子化岗、补充材料电子化岗、卷宗管理岗、电子转档岗、归档理卷岗、档案加工岗、技术支持岗等岗位，项目人员服从法院管理。</w:t>
      </w:r>
    </w:p>
    <w:p w14:paraId="2B4EAAF8">
      <w:pPr>
        <w:widowControl/>
        <w:spacing w:line="520" w:lineRule="exact"/>
        <w:ind w:firstLine="480"/>
        <w:jc w:val="left"/>
        <w:rPr>
          <w:rFonts w:ascii="宋体" w:hAnsi="宋体"/>
          <w:bCs/>
          <w:sz w:val="24"/>
          <w:szCs w:val="24"/>
        </w:rPr>
      </w:pPr>
      <w:r>
        <w:rPr>
          <w:rFonts w:hint="eastAsia" w:ascii="宋体" w:hAnsi="宋体"/>
          <w:bCs/>
          <w:sz w:val="24"/>
          <w:szCs w:val="24"/>
        </w:rPr>
        <w:t>2、本项目的项目经理应具有丰富的全流程无纸化办案服务管理经验，胜任工作分派、进度掌控及质量监管等管理工作，按要求向法院提供数据报表并分析数据能力。如项目实施过程中法院发现项目经理不能胜任相应工作，有权要求更换，成交供应商应按法院要求及时更换项目经理且资质不得低于原要求。</w:t>
      </w:r>
    </w:p>
    <w:p w14:paraId="50649618">
      <w:pPr>
        <w:widowControl/>
        <w:spacing w:line="520" w:lineRule="exact"/>
        <w:ind w:firstLine="480"/>
        <w:jc w:val="left"/>
        <w:rPr>
          <w:rFonts w:ascii="宋体" w:hAnsi="宋体"/>
          <w:bCs/>
          <w:sz w:val="24"/>
          <w:szCs w:val="24"/>
        </w:rPr>
      </w:pPr>
      <w:r>
        <w:rPr>
          <w:rFonts w:hint="eastAsia" w:ascii="宋体" w:hAnsi="宋体"/>
          <w:bCs/>
          <w:sz w:val="24"/>
          <w:szCs w:val="24"/>
        </w:rPr>
        <w:t>3、本项目的项目团队中至少需包含一名线上技术运维工程师。线上技术运维工程师在采购人建立的微信群等沟通工具中实时进行答疑和相关故障排除。</w:t>
      </w:r>
    </w:p>
    <w:p w14:paraId="3F88AFB7">
      <w:pPr>
        <w:widowControl/>
        <w:spacing w:line="520" w:lineRule="exact"/>
        <w:ind w:firstLine="480"/>
        <w:jc w:val="left"/>
        <w:rPr>
          <w:rFonts w:ascii="宋体" w:hAnsi="宋体"/>
          <w:bCs/>
          <w:sz w:val="24"/>
          <w:szCs w:val="24"/>
        </w:rPr>
      </w:pPr>
      <w:r>
        <w:rPr>
          <w:rFonts w:hint="eastAsia" w:ascii="宋体" w:hAnsi="宋体"/>
          <w:bCs/>
          <w:sz w:val="24"/>
          <w:szCs w:val="24"/>
        </w:rPr>
        <w:t>4、本项目拟派团队人员在上岗前须具备专业技能培训经历；至少具备大专以上学历，服务态度端正、作风优良，熟悉法院中需要服务岗位的业务流程，熟练掌握电脑等办公设备，遵守法院的规章制度。</w:t>
      </w:r>
    </w:p>
    <w:p w14:paraId="798AF0FA">
      <w:pPr>
        <w:widowControl/>
        <w:spacing w:line="520" w:lineRule="exact"/>
        <w:ind w:firstLine="480"/>
        <w:jc w:val="left"/>
        <w:rPr>
          <w:rFonts w:ascii="宋体" w:hAnsi="宋体"/>
          <w:bCs/>
          <w:sz w:val="24"/>
          <w:szCs w:val="24"/>
        </w:rPr>
      </w:pPr>
      <w:r>
        <w:rPr>
          <w:rFonts w:hint="eastAsia" w:ascii="宋体" w:hAnsi="宋体"/>
          <w:bCs/>
          <w:sz w:val="24"/>
          <w:szCs w:val="24"/>
        </w:rPr>
        <w:t>5、</w:t>
      </w:r>
      <w:r>
        <w:rPr>
          <w:rFonts w:ascii="宋体" w:hAnsi="宋体"/>
          <w:bCs/>
          <w:sz w:val="24"/>
          <w:szCs w:val="24"/>
        </w:rPr>
        <w:t>采购人为中标供应商提供办公场地、办公桌椅、大屏设施(展示可视化数据)；提供强弱电、门禁、监控接入，耗材（硒鼓、碳粉、普通A4纸、卷皮、卷盒）。</w:t>
      </w:r>
    </w:p>
    <w:p w14:paraId="2A93F168">
      <w:pPr>
        <w:widowControl/>
        <w:spacing w:line="520" w:lineRule="exact"/>
        <w:ind w:firstLine="482"/>
        <w:jc w:val="left"/>
        <w:rPr>
          <w:rFonts w:ascii="宋体" w:hAnsi="宋体"/>
          <w:b/>
          <w:bCs/>
          <w:sz w:val="24"/>
          <w:szCs w:val="24"/>
        </w:rPr>
      </w:pPr>
      <w:r>
        <w:rPr>
          <w:rFonts w:hint="eastAsia" w:ascii="宋体" w:hAnsi="宋体"/>
          <w:b/>
          <w:bCs/>
          <w:sz w:val="24"/>
          <w:szCs w:val="24"/>
        </w:rPr>
        <w:t>★6、</w:t>
      </w:r>
      <w:r>
        <w:rPr>
          <w:rFonts w:ascii="宋体" w:hAnsi="宋体"/>
          <w:b/>
          <w:bCs/>
          <w:sz w:val="24"/>
          <w:szCs w:val="24"/>
        </w:rPr>
        <w:t>其他与项目相关的</w:t>
      </w:r>
      <w:r>
        <w:rPr>
          <w:rFonts w:hint="eastAsia" w:ascii="宋体" w:hAnsi="宋体"/>
          <w:b/>
          <w:bCs/>
          <w:sz w:val="24"/>
          <w:szCs w:val="24"/>
        </w:rPr>
        <w:t>终端</w:t>
      </w:r>
      <w:r>
        <w:rPr>
          <w:rFonts w:ascii="宋体" w:hAnsi="宋体"/>
          <w:b/>
          <w:bCs/>
          <w:sz w:val="24"/>
          <w:szCs w:val="24"/>
        </w:rPr>
        <w:t>设备均由中标供应商自行提供。</w:t>
      </w:r>
      <w:r>
        <w:rPr>
          <w:rFonts w:hint="eastAsia" w:ascii="宋体" w:hAnsi="宋体"/>
          <w:b/>
          <w:bCs/>
          <w:sz w:val="24"/>
          <w:szCs w:val="24"/>
        </w:rPr>
        <w:t>包括但不限于电脑（包含操作系统及软件）</w:t>
      </w:r>
      <w:r>
        <w:rPr>
          <w:rFonts w:ascii="宋体" w:hAnsi="宋体"/>
          <w:b/>
          <w:bCs/>
          <w:sz w:val="24"/>
          <w:szCs w:val="24"/>
        </w:rPr>
        <w:t>、扫描仪、打印机、装订机</w:t>
      </w:r>
      <w:r>
        <w:rPr>
          <w:rFonts w:hint="eastAsia" w:ascii="宋体" w:hAnsi="宋体"/>
          <w:b/>
          <w:bCs/>
          <w:sz w:val="24"/>
          <w:szCs w:val="24"/>
        </w:rPr>
        <w:t>等</w:t>
      </w:r>
      <w:r>
        <w:rPr>
          <w:rFonts w:ascii="宋体" w:hAnsi="宋体"/>
          <w:b/>
          <w:bCs/>
          <w:sz w:val="24"/>
          <w:szCs w:val="24"/>
        </w:rPr>
        <w:t>，具体数量由中标供应商根据项目工作量及工作进度要求自行配置，达到法院工作要求。</w:t>
      </w:r>
    </w:p>
    <w:p w14:paraId="135B008A">
      <w:pPr>
        <w:tabs>
          <w:tab w:val="left" w:pos="945"/>
        </w:tabs>
        <w:spacing w:line="520" w:lineRule="exact"/>
        <w:ind w:firstLine="482"/>
        <w:jc w:val="left"/>
        <w:rPr>
          <w:rFonts w:ascii="宋体" w:hAnsi="宋体"/>
          <w:bCs/>
          <w:sz w:val="24"/>
          <w:szCs w:val="24"/>
        </w:rPr>
      </w:pPr>
      <w:r>
        <w:rPr>
          <w:rFonts w:hint="eastAsia" w:ascii="宋体" w:hAnsi="宋体"/>
          <w:b/>
          <w:bCs/>
          <w:sz w:val="24"/>
          <w:szCs w:val="24"/>
        </w:rPr>
        <w:t>加“★”项为实质性响应内容，投标人必须完全响应。</w:t>
      </w:r>
    </w:p>
    <w:p w14:paraId="7DBA43B6">
      <w:pPr>
        <w:widowControl/>
        <w:spacing w:line="520" w:lineRule="exact"/>
        <w:ind w:firstLine="241"/>
        <w:jc w:val="left"/>
        <w:rPr>
          <w:rFonts w:ascii="宋体" w:hAnsi="宋体"/>
          <w:b/>
          <w:bCs/>
          <w:sz w:val="24"/>
          <w:szCs w:val="24"/>
        </w:rPr>
      </w:pPr>
      <w:r>
        <w:rPr>
          <w:rFonts w:hint="eastAsia" w:ascii="宋体" w:hAnsi="宋体"/>
          <w:b/>
          <w:bCs/>
          <w:sz w:val="24"/>
          <w:szCs w:val="24"/>
        </w:rPr>
        <w:t>（五）安全保密要求</w:t>
      </w:r>
    </w:p>
    <w:p w14:paraId="5ED61E23">
      <w:pPr>
        <w:widowControl/>
        <w:spacing w:line="520" w:lineRule="exact"/>
        <w:ind w:firstLine="480"/>
        <w:jc w:val="left"/>
        <w:rPr>
          <w:rFonts w:ascii="宋体" w:hAnsi="宋体"/>
          <w:bCs/>
          <w:sz w:val="24"/>
          <w:szCs w:val="24"/>
        </w:rPr>
      </w:pPr>
      <w:r>
        <w:rPr>
          <w:rFonts w:hint="eastAsia" w:ascii="宋体" w:hAnsi="宋体"/>
          <w:bCs/>
          <w:sz w:val="24"/>
          <w:szCs w:val="24"/>
        </w:rPr>
        <w:t>1、成交供应商应严格遵守国家相关的保密法律规定，无条件遵守《保密协议》（由采购人提供，双方另行</w:t>
      </w:r>
      <w:r>
        <w:rPr>
          <w:rFonts w:ascii="宋体" w:hAnsi="宋体"/>
          <w:bCs/>
          <w:sz w:val="24"/>
          <w:szCs w:val="24"/>
        </w:rPr>
        <w:t>签订</w:t>
      </w:r>
      <w:r>
        <w:rPr>
          <w:rFonts w:hint="eastAsia" w:ascii="宋体" w:hAnsi="宋体"/>
          <w:bCs/>
          <w:sz w:val="24"/>
          <w:szCs w:val="24"/>
        </w:rPr>
        <w:t>）和法院的有关规定。</w:t>
      </w:r>
    </w:p>
    <w:p w14:paraId="5881D152">
      <w:pPr>
        <w:widowControl/>
        <w:spacing w:line="520" w:lineRule="exact"/>
        <w:ind w:firstLine="480"/>
        <w:jc w:val="left"/>
        <w:rPr>
          <w:rFonts w:ascii="宋体" w:hAnsi="宋体"/>
          <w:bCs/>
          <w:sz w:val="24"/>
          <w:szCs w:val="24"/>
        </w:rPr>
      </w:pPr>
      <w:r>
        <w:rPr>
          <w:rFonts w:hint="eastAsia" w:ascii="宋体" w:hAnsi="宋体"/>
          <w:bCs/>
          <w:sz w:val="24"/>
          <w:szCs w:val="24"/>
        </w:rPr>
        <w:t>2、服务工作必须在法院指定的场所内进行，确保场所正常秩序和安全。不得遗失、损坏卷宗，如有违法行为或违反相关规定，将依法或依据约定追究相应的责任。</w:t>
      </w:r>
    </w:p>
    <w:p w14:paraId="552A4C50">
      <w:pPr>
        <w:widowControl/>
        <w:spacing w:line="520" w:lineRule="exact"/>
        <w:ind w:firstLine="480"/>
        <w:jc w:val="left"/>
        <w:rPr>
          <w:rFonts w:ascii="宋体" w:hAnsi="宋体"/>
          <w:bCs/>
          <w:sz w:val="24"/>
          <w:szCs w:val="24"/>
        </w:rPr>
      </w:pPr>
      <w:r>
        <w:rPr>
          <w:rFonts w:hint="eastAsia" w:ascii="宋体" w:hAnsi="宋体"/>
          <w:bCs/>
          <w:sz w:val="24"/>
          <w:szCs w:val="24"/>
        </w:rPr>
        <w:t>3、项目实施过程中，成交供应商如需更换、增加工作人员，必须提前一周向法院提供拟加入人员的资料，取得法院签字同意后方可更换或者增加人手。对离开本项目实施岗位的人员，成交供应商需在人员离岗后一周内，在法院保存的相关工作人员的备案表格中标注离岗日期。</w:t>
      </w:r>
    </w:p>
    <w:p w14:paraId="72E60A89">
      <w:pPr>
        <w:widowControl/>
        <w:spacing w:line="520" w:lineRule="exact"/>
        <w:ind w:firstLine="480"/>
        <w:jc w:val="left"/>
        <w:rPr>
          <w:rFonts w:ascii="宋体" w:hAnsi="宋体"/>
          <w:bCs/>
          <w:sz w:val="24"/>
          <w:szCs w:val="24"/>
        </w:rPr>
      </w:pPr>
      <w:r>
        <w:rPr>
          <w:rFonts w:hint="eastAsia" w:ascii="宋体" w:hAnsi="宋体"/>
          <w:bCs/>
          <w:sz w:val="24"/>
          <w:szCs w:val="24"/>
        </w:rPr>
        <w:t>4、除钥匙及眼镜等外，成交供应商工作人员未经法院同意，不得将手袋、提包、钱包、磁盘（含 U 盘、软盘、硬盘等）、刻录光盘、手机、MP3、MP4、报刊、纸张及其他随身物品带入工作室，也不得将工作室的物品擅自带出工作室外。</w:t>
      </w:r>
    </w:p>
    <w:p w14:paraId="1D152A72">
      <w:pPr>
        <w:widowControl/>
        <w:spacing w:line="520" w:lineRule="exact"/>
        <w:ind w:firstLine="480"/>
        <w:jc w:val="left"/>
        <w:rPr>
          <w:rFonts w:ascii="宋体" w:hAnsi="宋体"/>
          <w:bCs/>
          <w:sz w:val="24"/>
          <w:szCs w:val="24"/>
        </w:rPr>
      </w:pPr>
      <w:r>
        <w:rPr>
          <w:rFonts w:hint="eastAsia" w:ascii="宋体" w:hAnsi="宋体"/>
          <w:bCs/>
          <w:sz w:val="24"/>
          <w:szCs w:val="24"/>
        </w:rPr>
        <w:t>5、未经法院批准，成交供应商不得以任何形式复制离线的卷宗图像和卷宗目录数据。</w:t>
      </w:r>
    </w:p>
    <w:p w14:paraId="335F1193">
      <w:pPr>
        <w:widowControl/>
        <w:spacing w:line="520" w:lineRule="exact"/>
        <w:ind w:firstLine="480"/>
        <w:jc w:val="left"/>
        <w:rPr>
          <w:rFonts w:ascii="宋体" w:hAnsi="宋体"/>
          <w:bCs/>
          <w:sz w:val="24"/>
          <w:szCs w:val="24"/>
        </w:rPr>
      </w:pPr>
      <w:r>
        <w:rPr>
          <w:rFonts w:hint="eastAsia" w:ascii="宋体" w:hAnsi="宋体"/>
          <w:bCs/>
          <w:sz w:val="24"/>
          <w:szCs w:val="24"/>
        </w:rPr>
        <w:t>6、成交供应商工作人员剔除同一案卷内的重复文件必须经法院有关人员审核同意方可实施。</w:t>
      </w:r>
    </w:p>
    <w:p w14:paraId="04D8A153">
      <w:pPr>
        <w:widowControl/>
        <w:spacing w:line="520" w:lineRule="exact"/>
        <w:ind w:firstLine="480"/>
        <w:jc w:val="left"/>
        <w:rPr>
          <w:rFonts w:ascii="宋体" w:hAnsi="宋体"/>
          <w:bCs/>
          <w:sz w:val="24"/>
          <w:szCs w:val="24"/>
        </w:rPr>
      </w:pPr>
      <w:r>
        <w:rPr>
          <w:rFonts w:hint="eastAsia" w:ascii="宋体" w:hAnsi="宋体"/>
          <w:bCs/>
          <w:sz w:val="24"/>
          <w:szCs w:val="24"/>
        </w:rPr>
        <w:t>7、卷宗工作室内的废纸必须集中放置，并定期运送至法院指定位置进行销毁。</w:t>
      </w:r>
    </w:p>
    <w:p w14:paraId="21282727">
      <w:pPr>
        <w:widowControl/>
        <w:spacing w:line="520" w:lineRule="exact"/>
        <w:ind w:firstLine="480"/>
        <w:jc w:val="left"/>
        <w:rPr>
          <w:rFonts w:ascii="宋体" w:hAnsi="宋体"/>
          <w:bCs/>
          <w:sz w:val="24"/>
          <w:szCs w:val="24"/>
        </w:rPr>
      </w:pPr>
      <w:r>
        <w:rPr>
          <w:rFonts w:hint="eastAsia" w:ascii="宋体" w:hAnsi="宋体"/>
          <w:bCs/>
          <w:sz w:val="24"/>
          <w:szCs w:val="24"/>
        </w:rPr>
        <w:t>8、成交供应商工作人员不得以任何方式非法向外人泄露档案所涉及的审判秘密、工作秘密及其他不宜公开的信息，否则按国家有关规定处理，情节严重的要承担相应的刑事责任。</w:t>
      </w:r>
    </w:p>
    <w:p w14:paraId="69F53092">
      <w:pPr>
        <w:widowControl/>
        <w:spacing w:line="520" w:lineRule="exact"/>
        <w:ind w:firstLine="480"/>
        <w:jc w:val="left"/>
        <w:rPr>
          <w:rFonts w:ascii="宋体" w:hAnsi="宋体"/>
          <w:bCs/>
          <w:sz w:val="24"/>
          <w:szCs w:val="24"/>
        </w:rPr>
      </w:pPr>
      <w:r>
        <w:rPr>
          <w:rFonts w:hint="eastAsia" w:ascii="宋体" w:hAnsi="宋体"/>
          <w:bCs/>
          <w:sz w:val="24"/>
          <w:szCs w:val="24"/>
        </w:rPr>
        <w:t>9、成交供应商应对本项目所有产生的电子化数据的完整性和安全性负责，全面做好电子化数据的备份（至少有一份以上的电子化数据备份），确保数据的安全。</w:t>
      </w:r>
    </w:p>
    <w:p w14:paraId="607A5087">
      <w:pPr>
        <w:widowControl/>
        <w:spacing w:line="520" w:lineRule="exact"/>
        <w:ind w:firstLine="361"/>
        <w:jc w:val="left"/>
        <w:rPr>
          <w:rFonts w:ascii="宋体" w:hAnsi="宋体"/>
          <w:b/>
          <w:bCs/>
          <w:sz w:val="24"/>
          <w:szCs w:val="24"/>
        </w:rPr>
      </w:pPr>
      <w:r>
        <w:rPr>
          <w:rFonts w:hint="eastAsia" w:ascii="宋体" w:hAnsi="宋体"/>
          <w:b/>
          <w:bCs/>
          <w:sz w:val="24"/>
          <w:szCs w:val="24"/>
        </w:rPr>
        <w:t>（六）其他要求</w:t>
      </w:r>
    </w:p>
    <w:p w14:paraId="1B92A884">
      <w:pPr>
        <w:widowControl/>
        <w:spacing w:line="520" w:lineRule="exact"/>
        <w:ind w:firstLine="480"/>
        <w:jc w:val="left"/>
        <w:rPr>
          <w:rFonts w:ascii="宋体" w:hAnsi="宋体"/>
          <w:bCs/>
          <w:sz w:val="24"/>
          <w:szCs w:val="24"/>
        </w:rPr>
      </w:pPr>
      <w:r>
        <w:rPr>
          <w:rFonts w:hint="eastAsia" w:ascii="宋体" w:hAnsi="宋体"/>
          <w:bCs/>
          <w:sz w:val="24"/>
          <w:szCs w:val="24"/>
        </w:rPr>
        <w:t>1、为确保泗阳县人民法院无纸化办案成效，供应商需着力推进贯穿立案，送达，接待，调查，询问，调解，庭审，合议，裁判，结案，归档等环节的全流程、全要素无纸化办案配套服务。供应商应基于现有法院业务系统进行软件功能操作，服务期间供应商提供的相关配套服务软件需与泗阳县人民法院无纸化办案核心业务系统进行无缝对接，确保数据准确性及一致性。</w:t>
      </w:r>
    </w:p>
    <w:p w14:paraId="3A45C055">
      <w:pPr>
        <w:widowControl/>
        <w:spacing w:line="520" w:lineRule="exact"/>
        <w:ind w:firstLine="480"/>
        <w:jc w:val="left"/>
        <w:rPr>
          <w:rFonts w:ascii="宋体" w:hAnsi="宋体"/>
          <w:bCs/>
          <w:sz w:val="24"/>
          <w:szCs w:val="24"/>
        </w:rPr>
      </w:pPr>
      <w:r>
        <w:rPr>
          <w:rFonts w:hint="eastAsia" w:ascii="宋体" w:hAnsi="宋体"/>
          <w:bCs/>
          <w:sz w:val="24"/>
          <w:szCs w:val="24"/>
        </w:rPr>
        <w:t>2、合同签订后十日内，供应商提供的软件与采购人现有办案系统无缝对接，并向采购人提供有效的证明材料。供应商携带配备的本项目的主要设备到采购人现场进行测试</w:t>
      </w:r>
      <w:r>
        <w:rPr>
          <w:rFonts w:ascii="宋体" w:hAnsi="宋体"/>
          <w:bCs/>
          <w:sz w:val="24"/>
          <w:szCs w:val="24"/>
        </w:rPr>
        <w:t>[包括完成法</w:t>
      </w:r>
      <w:r>
        <w:rPr>
          <w:rFonts w:hint="eastAsia" w:ascii="宋体" w:hAnsi="宋体"/>
          <w:bCs/>
          <w:sz w:val="24"/>
          <w:szCs w:val="24"/>
        </w:rPr>
        <w:t>院诉讼卷宗的整理扫描（测评页数：≤</w:t>
      </w:r>
      <w:r>
        <w:rPr>
          <w:rFonts w:ascii="宋体" w:hAnsi="宋体"/>
          <w:bCs/>
          <w:sz w:val="24"/>
          <w:szCs w:val="24"/>
        </w:rPr>
        <w:t>1万页，测评的具体数量根据</w:t>
      </w:r>
      <w:r>
        <w:rPr>
          <w:rFonts w:hint="eastAsia" w:ascii="宋体" w:hAnsi="宋体"/>
          <w:bCs/>
          <w:sz w:val="24"/>
          <w:szCs w:val="24"/>
        </w:rPr>
        <w:t>采购人实际需要确定），扫描数据能够流畅的接入到法院材料与卷宗系统。</w:t>
      </w:r>
      <w:r>
        <w:rPr>
          <w:rFonts w:ascii="宋体" w:hAnsi="宋体"/>
          <w:bCs/>
          <w:sz w:val="24"/>
          <w:szCs w:val="24"/>
        </w:rPr>
        <w:t>]供应商不能实现系统无缝对接或不能通过技术测试或测试结果</w:t>
      </w:r>
      <w:r>
        <w:rPr>
          <w:rFonts w:hint="eastAsia" w:ascii="宋体" w:hAnsi="宋体"/>
          <w:bCs/>
          <w:sz w:val="24"/>
          <w:szCs w:val="24"/>
        </w:rPr>
        <w:t>与本项目要求不符的视为虚假响应，采购人有权终止本项目合同不承担违约责任，采购人将追究成交供应商的违约和赔偿。</w:t>
      </w:r>
    </w:p>
    <w:p w14:paraId="4D872805">
      <w:pPr>
        <w:widowControl/>
        <w:spacing w:line="520" w:lineRule="exact"/>
        <w:ind w:firstLine="480"/>
        <w:jc w:val="left"/>
        <w:rPr>
          <w:rFonts w:ascii="宋体" w:hAnsi="宋体"/>
          <w:bCs/>
          <w:sz w:val="24"/>
          <w:szCs w:val="24"/>
        </w:rPr>
      </w:pPr>
      <w:r>
        <w:rPr>
          <w:rFonts w:hint="eastAsia" w:ascii="宋体" w:hAnsi="宋体"/>
          <w:bCs/>
          <w:sz w:val="24"/>
          <w:szCs w:val="24"/>
        </w:rPr>
        <w:t>3、</w:t>
      </w:r>
      <w:r>
        <w:rPr>
          <w:rFonts w:ascii="宋体" w:hAnsi="宋体"/>
          <w:bCs/>
          <w:sz w:val="24"/>
          <w:szCs w:val="24"/>
        </w:rPr>
        <w:t>未尽事项。本文件未尽之处按照最高院、省高院</w:t>
      </w:r>
      <w:r>
        <w:rPr>
          <w:rFonts w:hint="eastAsia" w:ascii="宋体" w:hAnsi="宋体"/>
          <w:bCs/>
          <w:sz w:val="24"/>
          <w:szCs w:val="24"/>
        </w:rPr>
        <w:t>和市</w:t>
      </w:r>
      <w:r>
        <w:rPr>
          <w:rFonts w:ascii="宋体" w:hAnsi="宋体"/>
          <w:bCs/>
          <w:sz w:val="24"/>
          <w:szCs w:val="24"/>
        </w:rPr>
        <w:t>中院有关规定执行。</w:t>
      </w:r>
    </w:p>
    <w:bookmarkEnd w:id="2"/>
    <w:bookmarkEnd w:id="3"/>
    <w:p w14:paraId="5976025C">
      <w:pPr>
        <w:widowControl/>
        <w:spacing w:line="520" w:lineRule="exact"/>
        <w:ind w:firstLine="562"/>
        <w:jc w:val="left"/>
        <w:rPr>
          <w:rFonts w:ascii="宋体" w:hAnsi="宋体"/>
          <w:b/>
          <w:bCs/>
          <w:sz w:val="28"/>
          <w:szCs w:val="28"/>
        </w:rPr>
      </w:pPr>
      <w:bookmarkStart w:id="6" w:name="_Toc45264038"/>
      <w:r>
        <w:rPr>
          <w:rFonts w:hint="eastAsia" w:ascii="宋体" w:hAnsi="宋体"/>
          <w:b/>
          <w:bCs/>
          <w:sz w:val="28"/>
          <w:szCs w:val="28"/>
        </w:rPr>
        <w:t>七、技术服务、培训等</w:t>
      </w:r>
      <w:bookmarkEnd w:id="6"/>
    </w:p>
    <w:p w14:paraId="36FB4AE7">
      <w:pPr>
        <w:widowControl/>
        <w:spacing w:line="520" w:lineRule="exact"/>
        <w:ind w:firstLine="480"/>
        <w:jc w:val="left"/>
        <w:rPr>
          <w:rFonts w:ascii="宋体" w:hAnsi="宋体"/>
          <w:bCs/>
          <w:sz w:val="24"/>
          <w:szCs w:val="24"/>
        </w:rPr>
      </w:pPr>
      <w:r>
        <w:rPr>
          <w:rFonts w:hint="eastAsia" w:ascii="宋体" w:hAnsi="宋体"/>
          <w:bCs/>
          <w:sz w:val="24"/>
          <w:szCs w:val="24"/>
        </w:rPr>
        <w:t>（一）工作时间</w:t>
      </w:r>
    </w:p>
    <w:p w14:paraId="0489E125">
      <w:pPr>
        <w:widowControl/>
        <w:spacing w:line="520" w:lineRule="exact"/>
        <w:ind w:firstLine="480"/>
        <w:jc w:val="left"/>
        <w:rPr>
          <w:rFonts w:ascii="宋体" w:hAnsi="宋体"/>
          <w:bCs/>
          <w:sz w:val="24"/>
          <w:szCs w:val="24"/>
        </w:rPr>
      </w:pPr>
      <w:r>
        <w:rPr>
          <w:rFonts w:hint="eastAsia" w:ascii="宋体" w:hAnsi="宋体"/>
          <w:bCs/>
          <w:sz w:val="24"/>
          <w:szCs w:val="24"/>
        </w:rPr>
        <w:t>国家法定工作日和法院统一要求加班的节假日，上午8:30-12：00，下午：13:30-17:30。成交供应商应严格执行考勤制度，做好考勤登记，确保员工准时上班。</w:t>
      </w:r>
    </w:p>
    <w:p w14:paraId="2D3F7E4C">
      <w:pPr>
        <w:widowControl/>
        <w:spacing w:line="520" w:lineRule="exact"/>
        <w:ind w:firstLine="480"/>
        <w:jc w:val="left"/>
        <w:rPr>
          <w:rFonts w:ascii="宋体" w:hAnsi="宋体"/>
          <w:bCs/>
          <w:sz w:val="24"/>
          <w:szCs w:val="24"/>
        </w:rPr>
      </w:pPr>
      <w:r>
        <w:rPr>
          <w:rFonts w:hint="eastAsia" w:ascii="宋体" w:hAnsi="宋体"/>
          <w:bCs/>
          <w:sz w:val="24"/>
          <w:szCs w:val="24"/>
        </w:rPr>
        <w:t>（二）技术服务</w:t>
      </w:r>
    </w:p>
    <w:p w14:paraId="1D588A50">
      <w:pPr>
        <w:widowControl/>
        <w:spacing w:line="520" w:lineRule="exact"/>
        <w:ind w:firstLine="480"/>
        <w:jc w:val="left"/>
        <w:rPr>
          <w:rFonts w:ascii="宋体" w:hAnsi="宋体"/>
          <w:bCs/>
          <w:sz w:val="24"/>
          <w:szCs w:val="24"/>
        </w:rPr>
      </w:pPr>
      <w:r>
        <w:rPr>
          <w:rFonts w:hint="eastAsia" w:ascii="宋体" w:hAnsi="宋体"/>
          <w:bCs/>
          <w:sz w:val="24"/>
          <w:szCs w:val="24"/>
        </w:rPr>
        <w:t>工作时间成交供应商须提供运维工程师现场或远程解答采购人关于全流程无纸化的业务和技术问题。另外提供每天24小时的不间断技术支持服务，为采购人提供电话、传真、视频、现场等多种方式技术支持服务，全方位响应需求。</w:t>
      </w:r>
    </w:p>
    <w:p w14:paraId="25224644">
      <w:pPr>
        <w:widowControl/>
        <w:spacing w:line="520" w:lineRule="exact"/>
        <w:ind w:firstLine="480"/>
        <w:jc w:val="left"/>
        <w:rPr>
          <w:rFonts w:ascii="宋体" w:hAnsi="宋体"/>
          <w:bCs/>
          <w:sz w:val="24"/>
          <w:szCs w:val="24"/>
        </w:rPr>
      </w:pPr>
      <w:r>
        <w:rPr>
          <w:rFonts w:hint="eastAsia" w:ascii="宋体" w:hAnsi="宋体"/>
          <w:bCs/>
          <w:sz w:val="24"/>
          <w:szCs w:val="24"/>
        </w:rPr>
        <w:t>（三）培训</w:t>
      </w:r>
    </w:p>
    <w:p w14:paraId="76485C61">
      <w:pPr>
        <w:widowControl/>
        <w:spacing w:line="520" w:lineRule="exact"/>
        <w:ind w:firstLine="480"/>
        <w:jc w:val="left"/>
        <w:rPr>
          <w:rFonts w:ascii="宋体" w:hAnsi="宋体"/>
          <w:bCs/>
          <w:sz w:val="24"/>
          <w:szCs w:val="24"/>
        </w:rPr>
      </w:pPr>
      <w:r>
        <w:rPr>
          <w:rFonts w:hint="eastAsia" w:ascii="宋体" w:hAnsi="宋体"/>
          <w:bCs/>
          <w:sz w:val="24"/>
          <w:szCs w:val="24"/>
        </w:rPr>
        <w:t>成交供应商应制定全流程各环节服务标准培训内容，负责多轮次对采购人工作人员和本项目实施人员进行相关培训，培训内容包括但不限于无纸化办案理解、纸质卷宗流转机制、辅助事项管理系统、电子卷宗智能服务系统和文书平台等，确保项目实施顺利和项目实施成效。</w:t>
      </w:r>
    </w:p>
    <w:p w14:paraId="2BB74495">
      <w:pPr>
        <w:widowControl/>
        <w:spacing w:line="520" w:lineRule="exact"/>
        <w:ind w:firstLine="480"/>
        <w:jc w:val="left"/>
        <w:rPr>
          <w:rFonts w:ascii="宋体" w:hAnsi="宋体"/>
          <w:bCs/>
          <w:sz w:val="24"/>
          <w:szCs w:val="24"/>
        </w:rPr>
      </w:pPr>
      <w:r>
        <w:rPr>
          <w:rFonts w:hint="eastAsia" w:ascii="宋体" w:hAnsi="宋体"/>
          <w:bCs/>
          <w:sz w:val="24"/>
          <w:szCs w:val="24"/>
        </w:rPr>
        <w:t>（四）人员调整</w:t>
      </w:r>
    </w:p>
    <w:p w14:paraId="188630A4">
      <w:pPr>
        <w:widowControl/>
        <w:spacing w:line="520" w:lineRule="exact"/>
        <w:ind w:firstLine="480"/>
        <w:jc w:val="left"/>
        <w:rPr>
          <w:rFonts w:ascii="宋体" w:hAnsi="宋体"/>
          <w:bCs/>
          <w:sz w:val="24"/>
          <w:szCs w:val="24"/>
        </w:rPr>
      </w:pPr>
      <w:r>
        <w:rPr>
          <w:rFonts w:hint="eastAsia" w:ascii="宋体" w:hAnsi="宋体"/>
          <w:bCs/>
          <w:sz w:val="24"/>
          <w:szCs w:val="24"/>
        </w:rPr>
        <w:t>成交供应商工作人员若有违反采购人规定或工作质量出现问题的，采购人有权提出更换人员并收回相关出入采购人场所证件。</w:t>
      </w:r>
    </w:p>
    <w:p w14:paraId="6147588F">
      <w:pPr>
        <w:widowControl/>
        <w:spacing w:line="520" w:lineRule="exact"/>
        <w:ind w:firstLine="480"/>
        <w:jc w:val="left"/>
        <w:rPr>
          <w:rFonts w:ascii="宋体" w:hAnsi="宋体"/>
          <w:bCs/>
          <w:sz w:val="24"/>
          <w:szCs w:val="24"/>
        </w:rPr>
      </w:pPr>
      <w:r>
        <w:rPr>
          <w:rFonts w:hint="eastAsia" w:ascii="宋体" w:hAnsi="宋体"/>
          <w:bCs/>
          <w:sz w:val="24"/>
          <w:szCs w:val="24"/>
        </w:rPr>
        <w:t>（五）应急情况处理</w:t>
      </w:r>
    </w:p>
    <w:p w14:paraId="0A3DE2DB">
      <w:pPr>
        <w:widowControl/>
        <w:spacing w:line="520" w:lineRule="exact"/>
        <w:ind w:firstLine="480"/>
        <w:jc w:val="left"/>
        <w:rPr>
          <w:rFonts w:ascii="宋体" w:hAnsi="宋体"/>
          <w:bCs/>
          <w:sz w:val="24"/>
          <w:szCs w:val="24"/>
        </w:rPr>
      </w:pPr>
      <w:r>
        <w:rPr>
          <w:rFonts w:hint="eastAsia" w:ascii="宋体" w:hAnsi="宋体"/>
          <w:bCs/>
          <w:sz w:val="24"/>
          <w:szCs w:val="24"/>
        </w:rPr>
        <w:t>投标人应认真制订适合本项目的各种突发事件的处理预案，包括但不限于应急事项的处理流程、处理方法、日常预防机制等。</w:t>
      </w:r>
    </w:p>
    <w:p w14:paraId="7B7DC627">
      <w:pPr>
        <w:widowControl/>
        <w:spacing w:line="520" w:lineRule="exact"/>
        <w:ind w:firstLine="562"/>
        <w:jc w:val="left"/>
        <w:rPr>
          <w:rFonts w:ascii="宋体" w:hAnsi="宋体"/>
          <w:b/>
          <w:bCs/>
          <w:sz w:val="28"/>
          <w:szCs w:val="28"/>
        </w:rPr>
      </w:pPr>
      <w:r>
        <w:rPr>
          <w:rFonts w:hint="eastAsia" w:ascii="宋体" w:hAnsi="宋体"/>
          <w:b/>
          <w:bCs/>
          <w:sz w:val="28"/>
          <w:szCs w:val="28"/>
        </w:rPr>
        <w:t>八、验收</w:t>
      </w:r>
    </w:p>
    <w:p w14:paraId="10D611DA">
      <w:pPr>
        <w:widowControl/>
        <w:spacing w:line="520" w:lineRule="exact"/>
        <w:ind w:firstLine="480"/>
        <w:jc w:val="left"/>
        <w:rPr>
          <w:rFonts w:ascii="宋体" w:hAnsi="宋体"/>
          <w:bCs/>
          <w:sz w:val="24"/>
          <w:szCs w:val="24"/>
        </w:rPr>
      </w:pPr>
      <w:r>
        <w:rPr>
          <w:rFonts w:hint="eastAsia" w:ascii="宋体" w:hAnsi="宋体"/>
          <w:bCs/>
          <w:sz w:val="24"/>
          <w:szCs w:val="24"/>
        </w:rPr>
        <w:t>1、验收标准：采购人按照国家规定标准验收，没有国家标准的按行业标准验收，无行业标准的按地方或企业标准验收。</w:t>
      </w:r>
    </w:p>
    <w:p w14:paraId="7F2AAAB1">
      <w:pPr>
        <w:widowControl/>
        <w:spacing w:line="520" w:lineRule="exact"/>
        <w:ind w:firstLine="480"/>
        <w:jc w:val="left"/>
        <w:rPr>
          <w:rFonts w:ascii="宋体" w:hAnsi="宋体"/>
          <w:bCs/>
          <w:sz w:val="24"/>
          <w:szCs w:val="24"/>
        </w:rPr>
      </w:pPr>
      <w:r>
        <w:rPr>
          <w:rFonts w:hint="eastAsia" w:ascii="宋体" w:hAnsi="宋体"/>
          <w:bCs/>
          <w:sz w:val="24"/>
          <w:szCs w:val="24"/>
        </w:rPr>
        <w:t>2、验收：采购人以采购文件、中标供应商的投标文件、合同为依据，成立验收小组，负责对项目进行全面的验收，中标人须向采购人提供详细的预验收方案。</w:t>
      </w:r>
    </w:p>
    <w:p w14:paraId="53D61CA2">
      <w:pPr>
        <w:widowControl/>
        <w:spacing w:line="520" w:lineRule="exact"/>
        <w:ind w:firstLine="480"/>
        <w:jc w:val="left"/>
        <w:rPr>
          <w:rFonts w:ascii="宋体" w:hAnsi="宋体"/>
          <w:bCs/>
          <w:sz w:val="24"/>
          <w:szCs w:val="24"/>
        </w:rPr>
      </w:pPr>
      <w:r>
        <w:rPr>
          <w:rFonts w:hint="eastAsia" w:ascii="宋体" w:hAnsi="宋体"/>
          <w:bCs/>
          <w:sz w:val="24"/>
          <w:szCs w:val="24"/>
        </w:rPr>
        <w:t>3、平时抽检：采购方代表两人以上组成验收组负责日常抽检。</w:t>
      </w:r>
    </w:p>
    <w:p w14:paraId="0DBD058A">
      <w:pPr>
        <w:widowControl/>
        <w:spacing w:line="520" w:lineRule="exact"/>
        <w:ind w:firstLine="480"/>
        <w:jc w:val="left"/>
        <w:rPr>
          <w:rFonts w:hint="eastAsia" w:ascii="宋体" w:hAnsi="宋体"/>
          <w:bCs/>
          <w:sz w:val="24"/>
          <w:szCs w:val="24"/>
        </w:rPr>
      </w:pPr>
      <w:r>
        <w:rPr>
          <w:rFonts w:hint="eastAsia" w:ascii="宋体" w:hAnsi="宋体"/>
          <w:bCs/>
          <w:sz w:val="24"/>
          <w:szCs w:val="24"/>
        </w:rPr>
        <w:t>4、总验收：由专家参与，总验收合格后支付尾款，验收合格率不低于95%，验收合格后，验收双方应当在验收单确认签字。验收不合格，供应商在规定时间内进行整改，否则不予结算费用。</w:t>
      </w:r>
    </w:p>
    <w:p w14:paraId="1E4024E2">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52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2025-12-26T07:51:05Z</dcterms:created>
  <dc:creator>Administrator</dc:creator>
  <cp:lastModifiedBy>彩红</cp:lastModifiedBy>
  <dcterms:modified xsi:type="dcterms:W3CDTF">2025-12-26T07:51:50Z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eyJoZGlkIjoiMzMzYWU2ZTJmZjE4NTgyODkxODIzOWVjNzM3MzhlZTYiLCJ1c2VySWQiOiIxMDIxODU5MTg3In0=</vt:lpwstr>
  </property>
  <property fmtid="{D5CDD505-2E9C-101B-9397-08002B2CF9AE}" pid="4" name="ICV">
    <vt:lpwstr>D26DD95D174244DB81FD1A9A93D5C145_12</vt:lpwstr>
  </property>
</Properties>
</file>